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13C09" w:rsidRDefault="00C13C09" w:rsidP="005410BF">
      <w:pPr>
        <w:spacing w:line="520" w:lineRule="exact"/>
        <w:jc w:val="center"/>
        <w:rPr>
          <w:color w:val="000000"/>
          <w:kern w:val="0"/>
          <w:sz w:val="28"/>
          <w:szCs w:val="28"/>
        </w:rPr>
      </w:pPr>
      <w:r w:rsidRPr="000F79AB">
        <w:rPr>
          <w:color w:val="000000"/>
          <w:kern w:val="0"/>
          <w:sz w:val="28"/>
          <w:szCs w:val="28"/>
        </w:rPr>
        <w:t>证券代码：</w:t>
      </w:r>
      <w:r>
        <w:rPr>
          <w:color w:val="000000"/>
          <w:kern w:val="0"/>
          <w:sz w:val="28"/>
          <w:szCs w:val="28"/>
        </w:rPr>
        <w:t xml:space="preserve">002092  </w:t>
      </w:r>
      <w:r>
        <w:rPr>
          <w:rFonts w:hint="eastAsia"/>
          <w:color w:val="000000"/>
          <w:kern w:val="0"/>
          <w:sz w:val="28"/>
          <w:szCs w:val="28"/>
        </w:rPr>
        <w:t xml:space="preserve">  </w:t>
      </w:r>
      <w:r w:rsidRPr="000F79AB">
        <w:rPr>
          <w:color w:val="000000"/>
          <w:kern w:val="0"/>
          <w:sz w:val="28"/>
          <w:szCs w:val="28"/>
        </w:rPr>
        <w:t xml:space="preserve"> </w:t>
      </w:r>
      <w:r w:rsidRPr="000F79AB">
        <w:rPr>
          <w:color w:val="000000"/>
          <w:kern w:val="0"/>
          <w:sz w:val="28"/>
          <w:szCs w:val="28"/>
        </w:rPr>
        <w:t>证券简称：中泰化学</w:t>
      </w:r>
      <w:r w:rsidRPr="000F79AB">
        <w:rPr>
          <w:color w:val="000000"/>
          <w:kern w:val="0"/>
          <w:sz w:val="28"/>
          <w:szCs w:val="28"/>
        </w:rPr>
        <w:t xml:space="preserve">  </w:t>
      </w:r>
      <w:r>
        <w:rPr>
          <w:rFonts w:hint="eastAsia"/>
          <w:color w:val="000000"/>
          <w:kern w:val="0"/>
          <w:sz w:val="28"/>
          <w:szCs w:val="28"/>
        </w:rPr>
        <w:t xml:space="preserve">   </w:t>
      </w:r>
      <w:r w:rsidRPr="000F79AB">
        <w:rPr>
          <w:color w:val="000000"/>
          <w:kern w:val="0"/>
          <w:sz w:val="28"/>
          <w:szCs w:val="28"/>
        </w:rPr>
        <w:t>公告编号：</w:t>
      </w:r>
      <w:r w:rsidRPr="000F79AB">
        <w:rPr>
          <w:color w:val="000000"/>
          <w:kern w:val="0"/>
          <w:sz w:val="28"/>
          <w:szCs w:val="28"/>
        </w:rPr>
        <w:t>201</w:t>
      </w:r>
      <w:r>
        <w:rPr>
          <w:rFonts w:hint="eastAsia"/>
          <w:color w:val="000000"/>
          <w:kern w:val="0"/>
          <w:sz w:val="28"/>
          <w:szCs w:val="28"/>
        </w:rPr>
        <w:t>9</w:t>
      </w:r>
      <w:r w:rsidRPr="00D13A23">
        <w:rPr>
          <w:color w:val="000000"/>
          <w:kern w:val="0"/>
          <w:sz w:val="28"/>
          <w:szCs w:val="28"/>
        </w:rPr>
        <w:t>-</w:t>
      </w:r>
      <w:r w:rsidRPr="00FD49B2">
        <w:rPr>
          <w:color w:val="000000"/>
          <w:kern w:val="0"/>
          <w:sz w:val="28"/>
          <w:szCs w:val="28"/>
        </w:rPr>
        <w:t>0</w:t>
      </w:r>
      <w:r w:rsidR="00451CE9">
        <w:rPr>
          <w:rFonts w:hint="eastAsia"/>
          <w:color w:val="000000"/>
          <w:kern w:val="0"/>
          <w:sz w:val="28"/>
          <w:szCs w:val="28"/>
        </w:rPr>
        <w:t>19</w:t>
      </w:r>
    </w:p>
    <w:p w:rsidR="00C13C09" w:rsidRPr="000F79AB" w:rsidRDefault="00C13C09" w:rsidP="005410BF">
      <w:pPr>
        <w:spacing w:line="520" w:lineRule="exact"/>
        <w:jc w:val="center"/>
        <w:rPr>
          <w:color w:val="000000"/>
          <w:sz w:val="28"/>
          <w:szCs w:val="28"/>
        </w:rPr>
      </w:pPr>
    </w:p>
    <w:p w:rsidR="00C13C09" w:rsidRDefault="00C13C09" w:rsidP="005410BF">
      <w:pPr>
        <w:snapToGrid w:val="0"/>
        <w:spacing w:line="520" w:lineRule="exact"/>
        <w:jc w:val="center"/>
        <w:rPr>
          <w:rFonts w:hAnsi="宋体"/>
          <w:b/>
          <w:sz w:val="32"/>
          <w:szCs w:val="32"/>
        </w:rPr>
      </w:pPr>
      <w:r w:rsidRPr="0057086C">
        <w:rPr>
          <w:rFonts w:hAnsi="宋体"/>
          <w:b/>
          <w:sz w:val="32"/>
          <w:szCs w:val="32"/>
        </w:rPr>
        <w:t>新疆中泰化学股份有限公司</w:t>
      </w:r>
      <w:r w:rsidRPr="0057086C">
        <w:rPr>
          <w:b/>
          <w:sz w:val="32"/>
          <w:szCs w:val="32"/>
        </w:rPr>
        <w:t>201</w:t>
      </w:r>
      <w:r>
        <w:rPr>
          <w:rFonts w:hint="eastAsia"/>
          <w:b/>
          <w:sz w:val="32"/>
          <w:szCs w:val="32"/>
        </w:rPr>
        <w:t>8</w:t>
      </w:r>
      <w:r w:rsidRPr="0057086C">
        <w:rPr>
          <w:rFonts w:hAnsi="宋体"/>
          <w:b/>
          <w:sz w:val="32"/>
          <w:szCs w:val="32"/>
        </w:rPr>
        <w:t>年度业绩快报</w:t>
      </w:r>
      <w:r>
        <w:rPr>
          <w:rFonts w:hAnsi="宋体" w:hint="eastAsia"/>
          <w:b/>
          <w:sz w:val="32"/>
          <w:szCs w:val="32"/>
        </w:rPr>
        <w:t>修正公告</w:t>
      </w:r>
    </w:p>
    <w:p w:rsidR="00C13C09" w:rsidRDefault="00C13C09" w:rsidP="005410BF">
      <w:pPr>
        <w:autoSpaceDE w:val="0"/>
        <w:autoSpaceDN w:val="0"/>
        <w:adjustRightInd w:val="0"/>
        <w:spacing w:line="520" w:lineRule="exact"/>
        <w:ind w:firstLineChars="200" w:firstLine="480"/>
        <w:jc w:val="left"/>
        <w:rPr>
          <w:color w:val="000000"/>
          <w:kern w:val="0"/>
          <w:sz w:val="24"/>
        </w:rPr>
      </w:pPr>
    </w:p>
    <w:p w:rsidR="00C13C09" w:rsidRPr="005410BF" w:rsidRDefault="00C13C09" w:rsidP="00DC13F9">
      <w:pPr>
        <w:autoSpaceDE w:val="0"/>
        <w:autoSpaceDN w:val="0"/>
        <w:adjustRightInd w:val="0"/>
        <w:spacing w:line="520" w:lineRule="exact"/>
        <w:ind w:firstLineChars="200" w:firstLine="480"/>
        <w:rPr>
          <w:bCs/>
          <w:color w:val="000000"/>
          <w:kern w:val="0"/>
          <w:sz w:val="24"/>
          <w:szCs w:val="24"/>
        </w:rPr>
      </w:pPr>
      <w:r w:rsidRPr="005410BF">
        <w:rPr>
          <w:rFonts w:hint="eastAsia"/>
          <w:color w:val="000000"/>
          <w:kern w:val="0"/>
          <w:sz w:val="24"/>
          <w:szCs w:val="24"/>
        </w:rPr>
        <w:t>本公司及董事会</w:t>
      </w:r>
      <w:r w:rsidRPr="005410BF">
        <w:rPr>
          <w:rFonts w:hint="eastAsia"/>
          <w:bCs/>
          <w:color w:val="000000"/>
          <w:kern w:val="0"/>
          <w:sz w:val="24"/>
          <w:szCs w:val="24"/>
        </w:rPr>
        <w:t>全体成员保证信息披露的内容真实、准确、完整，没有虚假记载、误导性陈述或重大遗漏。</w:t>
      </w:r>
    </w:p>
    <w:p w:rsidR="00C13C09" w:rsidRPr="005410BF" w:rsidRDefault="00C13C09" w:rsidP="00E53393">
      <w:pPr>
        <w:autoSpaceDE w:val="0"/>
        <w:autoSpaceDN w:val="0"/>
        <w:adjustRightInd w:val="0"/>
        <w:spacing w:line="520" w:lineRule="exact"/>
        <w:ind w:firstLineChars="200" w:firstLine="480"/>
        <w:jc w:val="left"/>
        <w:rPr>
          <w:color w:val="000000"/>
          <w:kern w:val="0"/>
          <w:sz w:val="24"/>
          <w:szCs w:val="24"/>
        </w:rPr>
      </w:pPr>
    </w:p>
    <w:p w:rsidR="00C13C09" w:rsidRPr="005410BF" w:rsidRDefault="00C13C09" w:rsidP="00E53393">
      <w:pPr>
        <w:autoSpaceDE w:val="0"/>
        <w:autoSpaceDN w:val="0"/>
        <w:adjustRightInd w:val="0"/>
        <w:spacing w:line="520" w:lineRule="exact"/>
        <w:ind w:firstLineChars="200" w:firstLine="480"/>
        <w:rPr>
          <w:kern w:val="0"/>
          <w:sz w:val="24"/>
          <w:szCs w:val="24"/>
        </w:rPr>
      </w:pPr>
      <w:r w:rsidRPr="005410BF">
        <w:rPr>
          <w:rFonts w:hAnsi="宋体"/>
          <w:kern w:val="0"/>
          <w:sz w:val="24"/>
          <w:szCs w:val="24"/>
        </w:rPr>
        <w:t>特别提示：本公告所载</w:t>
      </w:r>
      <w:r w:rsidRPr="005410BF">
        <w:rPr>
          <w:kern w:val="0"/>
          <w:sz w:val="24"/>
          <w:szCs w:val="24"/>
        </w:rPr>
        <w:t>2018</w:t>
      </w:r>
      <w:r w:rsidRPr="005410BF">
        <w:rPr>
          <w:rFonts w:hAnsi="宋体"/>
          <w:kern w:val="0"/>
          <w:sz w:val="24"/>
          <w:szCs w:val="24"/>
        </w:rPr>
        <w:t>年度的财务数据仅为初步核算数据，已经公司内部审计部门审计，未经会计师事务所审计，与年度报告中披露的最终数据可能存在差异，请投资者注意投资风险。</w:t>
      </w:r>
    </w:p>
    <w:p w:rsidR="00C13C09" w:rsidRPr="005410BF" w:rsidRDefault="00C13C09" w:rsidP="005410BF">
      <w:pPr>
        <w:autoSpaceDE w:val="0"/>
        <w:autoSpaceDN w:val="0"/>
        <w:adjustRightInd w:val="0"/>
        <w:spacing w:line="520" w:lineRule="exact"/>
        <w:rPr>
          <w:rFonts w:ascii="宋体" w:hAnsi="宋体"/>
          <w:sz w:val="24"/>
          <w:szCs w:val="24"/>
        </w:rPr>
      </w:pPr>
    </w:p>
    <w:p w:rsidR="00C13C09" w:rsidRPr="005410BF" w:rsidRDefault="00C13C09" w:rsidP="005410BF">
      <w:pPr>
        <w:autoSpaceDE w:val="0"/>
        <w:autoSpaceDN w:val="0"/>
        <w:adjustRightInd w:val="0"/>
        <w:spacing w:line="520" w:lineRule="exact"/>
        <w:ind w:firstLineChars="200" w:firstLine="482"/>
        <w:rPr>
          <w:rFonts w:ascii="宋体" w:hAnsi="宋体" w:cs="宋体"/>
          <w:b/>
          <w:kern w:val="0"/>
          <w:sz w:val="24"/>
          <w:szCs w:val="24"/>
        </w:rPr>
      </w:pPr>
      <w:r w:rsidRPr="005410BF">
        <w:rPr>
          <w:rFonts w:ascii="宋体" w:hAnsi="宋体" w:cs="宋体" w:hint="eastAsia"/>
          <w:b/>
          <w:kern w:val="0"/>
          <w:sz w:val="24"/>
          <w:szCs w:val="24"/>
        </w:rPr>
        <w:t>一、修正前后的主要财务数据和指标</w:t>
      </w:r>
    </w:p>
    <w:p w:rsidR="00C13C09" w:rsidRPr="005410BF" w:rsidRDefault="00C13C09" w:rsidP="005410BF">
      <w:pPr>
        <w:autoSpaceDE w:val="0"/>
        <w:autoSpaceDN w:val="0"/>
        <w:adjustRightInd w:val="0"/>
        <w:spacing w:line="520" w:lineRule="exact"/>
        <w:ind w:firstLineChars="200" w:firstLine="480"/>
        <w:jc w:val="right"/>
        <w:rPr>
          <w:rFonts w:ascii="宋体" w:hAnsi="宋体" w:cs="宋体"/>
          <w:kern w:val="0"/>
          <w:sz w:val="24"/>
          <w:szCs w:val="24"/>
        </w:rPr>
      </w:pPr>
      <w:r w:rsidRPr="005410BF">
        <w:rPr>
          <w:rFonts w:ascii="宋体" w:hAnsi="宋体" w:cs="宋体"/>
          <w:kern w:val="0"/>
          <w:sz w:val="24"/>
          <w:szCs w:val="24"/>
        </w:rPr>
        <w:t xml:space="preserve">                                                   </w:t>
      </w:r>
      <w:r w:rsidRPr="005410BF">
        <w:rPr>
          <w:rFonts w:ascii="宋体" w:hAnsi="宋体" w:cs="宋体" w:hint="eastAsia"/>
          <w:kern w:val="0"/>
          <w:sz w:val="24"/>
          <w:szCs w:val="24"/>
        </w:rPr>
        <w:t xml:space="preserve"> 单位：</w:t>
      </w:r>
      <w:r w:rsidR="005410BF" w:rsidRPr="005410BF">
        <w:rPr>
          <w:rFonts w:ascii="宋体" w:hAnsi="宋体" w:cs="宋体" w:hint="eastAsia"/>
          <w:kern w:val="0"/>
          <w:sz w:val="24"/>
          <w:szCs w:val="24"/>
        </w:rPr>
        <w:t>元</w:t>
      </w:r>
    </w:p>
    <w:tbl>
      <w:tblPr>
        <w:tblW w:w="99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67"/>
        <w:gridCol w:w="2016"/>
        <w:gridCol w:w="2016"/>
        <w:gridCol w:w="2016"/>
        <w:gridCol w:w="1726"/>
      </w:tblGrid>
      <w:tr w:rsidR="00C13C09" w:rsidRPr="00C12018" w:rsidTr="00F12E85">
        <w:trPr>
          <w:cantSplit/>
          <w:jc w:val="center"/>
        </w:trPr>
        <w:tc>
          <w:tcPr>
            <w:tcW w:w="25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C13C09" w:rsidRPr="004C4404" w:rsidRDefault="00C13C09" w:rsidP="00E25B26">
            <w:pPr>
              <w:jc w:val="center"/>
              <w:rPr>
                <w:sz w:val="24"/>
                <w:szCs w:val="24"/>
              </w:rPr>
            </w:pPr>
          </w:p>
        </w:tc>
        <w:tc>
          <w:tcPr>
            <w:tcW w:w="3648"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C13C09" w:rsidRPr="004C4404" w:rsidRDefault="00C13C09" w:rsidP="00E25B26">
            <w:pPr>
              <w:jc w:val="center"/>
              <w:rPr>
                <w:sz w:val="24"/>
                <w:szCs w:val="24"/>
              </w:rPr>
            </w:pPr>
            <w:r w:rsidRPr="004C4404">
              <w:rPr>
                <w:rFonts w:hAnsi="宋体"/>
                <w:sz w:val="24"/>
                <w:szCs w:val="24"/>
              </w:rPr>
              <w:t>本报告期</w:t>
            </w:r>
          </w:p>
        </w:tc>
        <w:tc>
          <w:tcPr>
            <w:tcW w:w="1791"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C13C09" w:rsidRPr="004C4404" w:rsidRDefault="00C13C09" w:rsidP="00E25B26">
            <w:pPr>
              <w:jc w:val="center"/>
              <w:rPr>
                <w:sz w:val="24"/>
                <w:szCs w:val="24"/>
              </w:rPr>
            </w:pPr>
            <w:r w:rsidRPr="004C4404">
              <w:rPr>
                <w:rFonts w:hAnsi="宋体"/>
                <w:sz w:val="24"/>
                <w:szCs w:val="24"/>
              </w:rPr>
              <w:t>上年同期</w:t>
            </w:r>
          </w:p>
        </w:tc>
        <w:tc>
          <w:tcPr>
            <w:tcW w:w="1960"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C13C09" w:rsidRPr="004C4404" w:rsidRDefault="00C13C09" w:rsidP="00AF37CE">
            <w:pPr>
              <w:jc w:val="center"/>
              <w:rPr>
                <w:sz w:val="24"/>
                <w:szCs w:val="24"/>
              </w:rPr>
            </w:pPr>
            <w:r w:rsidRPr="004C4404">
              <w:rPr>
                <w:sz w:val="24"/>
                <w:szCs w:val="24"/>
              </w:rPr>
              <w:t>修正后与上年同期的增减变动幅度</w:t>
            </w:r>
          </w:p>
        </w:tc>
      </w:tr>
      <w:tr w:rsidR="00DF7AB1" w:rsidRPr="00C12018" w:rsidTr="00F12E85">
        <w:trPr>
          <w:cantSplit/>
          <w:jc w:val="center"/>
        </w:trPr>
        <w:tc>
          <w:tcPr>
            <w:tcW w:w="2542" w:type="dxa"/>
            <w:vMerge/>
            <w:tcBorders>
              <w:top w:val="single" w:sz="4" w:space="0" w:color="auto"/>
              <w:left w:val="single" w:sz="4" w:space="0" w:color="auto"/>
              <w:bottom w:val="single" w:sz="4" w:space="0" w:color="auto"/>
              <w:right w:val="single" w:sz="4" w:space="0" w:color="auto"/>
            </w:tcBorders>
            <w:vAlign w:val="center"/>
          </w:tcPr>
          <w:p w:rsidR="00C13C09" w:rsidRPr="004C4404" w:rsidRDefault="00C13C09" w:rsidP="00E25B26">
            <w:pPr>
              <w:widowControl/>
              <w:jc w:val="left"/>
              <w:rPr>
                <w:rFonts w:ascii="宋体" w:hAnsi="宋体"/>
                <w:sz w:val="24"/>
                <w:szCs w:val="24"/>
              </w:rPr>
            </w:pPr>
          </w:p>
        </w:tc>
        <w:tc>
          <w:tcPr>
            <w:tcW w:w="1843" w:type="dxa"/>
            <w:tcBorders>
              <w:top w:val="single" w:sz="4" w:space="0" w:color="auto"/>
              <w:left w:val="single" w:sz="4" w:space="0" w:color="auto"/>
              <w:bottom w:val="single" w:sz="4" w:space="0" w:color="auto"/>
              <w:right w:val="single" w:sz="4" w:space="0" w:color="auto"/>
            </w:tcBorders>
            <w:shd w:val="clear" w:color="auto" w:fill="E6E6E6"/>
            <w:vAlign w:val="center"/>
          </w:tcPr>
          <w:p w:rsidR="00C13C09" w:rsidRPr="004C4404" w:rsidRDefault="00C13C09" w:rsidP="00E25B26">
            <w:pPr>
              <w:jc w:val="center"/>
              <w:rPr>
                <w:rFonts w:ascii="宋体" w:hAnsi="宋体"/>
                <w:sz w:val="24"/>
                <w:szCs w:val="24"/>
              </w:rPr>
            </w:pPr>
            <w:r w:rsidRPr="004C4404">
              <w:rPr>
                <w:rFonts w:ascii="宋体" w:hAnsi="宋体" w:hint="eastAsia"/>
                <w:sz w:val="24"/>
                <w:szCs w:val="24"/>
              </w:rPr>
              <w:t>修正前</w:t>
            </w:r>
          </w:p>
        </w:tc>
        <w:tc>
          <w:tcPr>
            <w:tcW w:w="1805" w:type="dxa"/>
            <w:tcBorders>
              <w:top w:val="single" w:sz="4" w:space="0" w:color="auto"/>
              <w:left w:val="single" w:sz="4" w:space="0" w:color="auto"/>
              <w:bottom w:val="single" w:sz="4" w:space="0" w:color="auto"/>
              <w:right w:val="single" w:sz="4" w:space="0" w:color="auto"/>
            </w:tcBorders>
            <w:shd w:val="clear" w:color="auto" w:fill="E6E6E6"/>
            <w:vAlign w:val="center"/>
          </w:tcPr>
          <w:p w:rsidR="00C13C09" w:rsidRPr="004C4404" w:rsidRDefault="00C13C09" w:rsidP="00E25B26">
            <w:pPr>
              <w:jc w:val="center"/>
              <w:rPr>
                <w:rFonts w:ascii="宋体" w:hAnsi="宋体"/>
                <w:sz w:val="24"/>
                <w:szCs w:val="24"/>
              </w:rPr>
            </w:pPr>
            <w:r w:rsidRPr="004C4404">
              <w:rPr>
                <w:rFonts w:ascii="宋体" w:hAnsi="宋体" w:hint="eastAsia"/>
                <w:sz w:val="24"/>
                <w:szCs w:val="24"/>
              </w:rPr>
              <w:t>修正后</w:t>
            </w:r>
          </w:p>
        </w:tc>
        <w:tc>
          <w:tcPr>
            <w:tcW w:w="1791" w:type="dxa"/>
            <w:vMerge/>
            <w:tcBorders>
              <w:top w:val="single" w:sz="4" w:space="0" w:color="auto"/>
              <w:left w:val="single" w:sz="4" w:space="0" w:color="auto"/>
              <w:bottom w:val="single" w:sz="4" w:space="0" w:color="auto"/>
              <w:right w:val="single" w:sz="4" w:space="0" w:color="auto"/>
            </w:tcBorders>
            <w:vAlign w:val="center"/>
          </w:tcPr>
          <w:p w:rsidR="00C13C09" w:rsidRPr="004C4404" w:rsidRDefault="00C13C09" w:rsidP="00E25B26">
            <w:pPr>
              <w:widowControl/>
              <w:jc w:val="left"/>
              <w:rPr>
                <w:rFonts w:ascii="宋体" w:hAnsi="宋体"/>
                <w:sz w:val="24"/>
                <w:szCs w:val="24"/>
              </w:rPr>
            </w:pPr>
          </w:p>
        </w:tc>
        <w:tc>
          <w:tcPr>
            <w:tcW w:w="1960" w:type="dxa"/>
            <w:vMerge/>
            <w:tcBorders>
              <w:top w:val="single" w:sz="4" w:space="0" w:color="auto"/>
              <w:left w:val="single" w:sz="4" w:space="0" w:color="auto"/>
              <w:bottom w:val="single" w:sz="4" w:space="0" w:color="auto"/>
              <w:right w:val="single" w:sz="4" w:space="0" w:color="auto"/>
            </w:tcBorders>
            <w:vAlign w:val="center"/>
          </w:tcPr>
          <w:p w:rsidR="00C13C09" w:rsidRPr="004C4404" w:rsidRDefault="00C13C09" w:rsidP="00E25B26">
            <w:pPr>
              <w:widowControl/>
              <w:jc w:val="left"/>
              <w:rPr>
                <w:rFonts w:ascii="宋体" w:hAnsi="宋体"/>
                <w:sz w:val="24"/>
                <w:szCs w:val="24"/>
              </w:rPr>
            </w:pPr>
          </w:p>
        </w:tc>
      </w:tr>
      <w:tr w:rsidR="00DF7AB1" w:rsidRPr="00C12018" w:rsidTr="00F12E85">
        <w:trPr>
          <w:jc w:val="center"/>
        </w:trPr>
        <w:tc>
          <w:tcPr>
            <w:tcW w:w="2542" w:type="dxa"/>
            <w:tcBorders>
              <w:top w:val="single" w:sz="4" w:space="0" w:color="auto"/>
              <w:left w:val="single" w:sz="4" w:space="0" w:color="auto"/>
              <w:bottom w:val="single" w:sz="4" w:space="0" w:color="auto"/>
              <w:right w:val="single" w:sz="4" w:space="0" w:color="auto"/>
            </w:tcBorders>
            <w:shd w:val="clear" w:color="auto" w:fill="E6E6E6"/>
            <w:vAlign w:val="center"/>
          </w:tcPr>
          <w:p w:rsidR="00DF7AB1" w:rsidRPr="004C4404" w:rsidRDefault="00DF7AB1" w:rsidP="005410BF">
            <w:pPr>
              <w:rPr>
                <w:rFonts w:ascii="宋体" w:hAnsi="宋体"/>
                <w:sz w:val="24"/>
                <w:szCs w:val="24"/>
              </w:rPr>
            </w:pPr>
            <w:r w:rsidRPr="004C4404">
              <w:rPr>
                <w:rFonts w:ascii="宋体" w:hAnsi="宋体" w:hint="eastAsia"/>
                <w:sz w:val="24"/>
                <w:szCs w:val="24"/>
              </w:rPr>
              <w:t>营业总收入</w:t>
            </w:r>
          </w:p>
        </w:tc>
        <w:tc>
          <w:tcPr>
            <w:tcW w:w="1843" w:type="dxa"/>
            <w:tcBorders>
              <w:top w:val="single" w:sz="4" w:space="0" w:color="auto"/>
              <w:left w:val="single" w:sz="4" w:space="0" w:color="auto"/>
              <w:bottom w:val="single" w:sz="4" w:space="0" w:color="auto"/>
              <w:right w:val="single" w:sz="4" w:space="0" w:color="auto"/>
            </w:tcBorders>
            <w:vAlign w:val="center"/>
          </w:tcPr>
          <w:p w:rsidR="00DF7AB1" w:rsidRPr="004C4404" w:rsidRDefault="00DF7AB1" w:rsidP="00E25B26">
            <w:pPr>
              <w:jc w:val="right"/>
              <w:rPr>
                <w:color w:val="000000"/>
                <w:sz w:val="24"/>
                <w:szCs w:val="24"/>
              </w:rPr>
            </w:pPr>
            <w:r w:rsidRPr="004C4404">
              <w:rPr>
                <w:color w:val="000000"/>
                <w:sz w:val="24"/>
                <w:szCs w:val="24"/>
              </w:rPr>
              <w:t>78</w:t>
            </w:r>
            <w:r w:rsidRPr="004C4404">
              <w:rPr>
                <w:rFonts w:hint="eastAsia"/>
                <w:color w:val="000000"/>
                <w:sz w:val="24"/>
                <w:szCs w:val="24"/>
              </w:rPr>
              <w:t>,</w:t>
            </w:r>
            <w:r w:rsidRPr="004C4404">
              <w:rPr>
                <w:color w:val="000000"/>
                <w:sz w:val="24"/>
                <w:szCs w:val="24"/>
              </w:rPr>
              <w:t>426</w:t>
            </w:r>
            <w:r w:rsidRPr="004C4404">
              <w:rPr>
                <w:rFonts w:hint="eastAsia"/>
                <w:color w:val="000000"/>
                <w:sz w:val="24"/>
                <w:szCs w:val="24"/>
              </w:rPr>
              <w:t>,</w:t>
            </w:r>
            <w:r w:rsidRPr="004C4404">
              <w:rPr>
                <w:color w:val="000000"/>
                <w:sz w:val="24"/>
                <w:szCs w:val="24"/>
              </w:rPr>
              <w:t>815</w:t>
            </w:r>
            <w:r w:rsidRPr="004C4404">
              <w:rPr>
                <w:rFonts w:hint="eastAsia"/>
                <w:color w:val="000000"/>
                <w:sz w:val="24"/>
                <w:szCs w:val="24"/>
              </w:rPr>
              <w:t>,</w:t>
            </w:r>
            <w:r w:rsidRPr="004C4404">
              <w:rPr>
                <w:color w:val="000000"/>
                <w:sz w:val="24"/>
                <w:szCs w:val="24"/>
              </w:rPr>
              <w:t>052.8</w:t>
            </w:r>
            <w:r w:rsidRPr="004C4404">
              <w:rPr>
                <w:rFonts w:hint="eastAsia"/>
                <w:color w:val="000000"/>
                <w:sz w:val="24"/>
                <w:szCs w:val="24"/>
              </w:rPr>
              <w:t>0</w:t>
            </w:r>
          </w:p>
        </w:tc>
        <w:tc>
          <w:tcPr>
            <w:tcW w:w="1805" w:type="dxa"/>
            <w:tcBorders>
              <w:top w:val="single" w:sz="4" w:space="0" w:color="auto"/>
              <w:left w:val="single" w:sz="4" w:space="0" w:color="auto"/>
              <w:bottom w:val="single" w:sz="4" w:space="0" w:color="auto"/>
              <w:right w:val="single" w:sz="4" w:space="0" w:color="auto"/>
            </w:tcBorders>
            <w:vAlign w:val="center"/>
          </w:tcPr>
          <w:p w:rsidR="00DF7AB1" w:rsidRPr="004C4404" w:rsidRDefault="00880B9D" w:rsidP="00985749">
            <w:pPr>
              <w:jc w:val="right"/>
              <w:rPr>
                <w:sz w:val="24"/>
                <w:szCs w:val="24"/>
              </w:rPr>
            </w:pPr>
            <w:r w:rsidRPr="004C4404">
              <w:rPr>
                <w:sz w:val="24"/>
                <w:szCs w:val="24"/>
              </w:rPr>
              <w:t>70,222,629,869.87</w:t>
            </w:r>
          </w:p>
        </w:tc>
        <w:tc>
          <w:tcPr>
            <w:tcW w:w="1791" w:type="dxa"/>
            <w:tcBorders>
              <w:top w:val="single" w:sz="4" w:space="0" w:color="auto"/>
              <w:left w:val="single" w:sz="4" w:space="0" w:color="auto"/>
              <w:bottom w:val="single" w:sz="4" w:space="0" w:color="auto"/>
              <w:right w:val="single" w:sz="4" w:space="0" w:color="auto"/>
            </w:tcBorders>
            <w:vAlign w:val="center"/>
          </w:tcPr>
          <w:p w:rsidR="00DF7AB1" w:rsidRPr="004C4404" w:rsidRDefault="00DF7AB1" w:rsidP="00F12E85">
            <w:pPr>
              <w:rPr>
                <w:color w:val="000000"/>
                <w:sz w:val="24"/>
                <w:szCs w:val="24"/>
              </w:rPr>
            </w:pPr>
            <w:r w:rsidRPr="004C4404">
              <w:rPr>
                <w:sz w:val="24"/>
                <w:szCs w:val="24"/>
              </w:rPr>
              <w:t>41,059,027,041.86</w:t>
            </w:r>
          </w:p>
        </w:tc>
        <w:tc>
          <w:tcPr>
            <w:tcW w:w="1960" w:type="dxa"/>
            <w:tcBorders>
              <w:top w:val="single" w:sz="4" w:space="0" w:color="auto"/>
              <w:left w:val="single" w:sz="4" w:space="0" w:color="auto"/>
              <w:bottom w:val="single" w:sz="4" w:space="0" w:color="auto"/>
              <w:right w:val="single" w:sz="4" w:space="0" w:color="auto"/>
            </w:tcBorders>
            <w:vAlign w:val="center"/>
          </w:tcPr>
          <w:p w:rsidR="00DF7AB1" w:rsidRPr="004C4404" w:rsidRDefault="00F12E85" w:rsidP="00DF7AB1">
            <w:pPr>
              <w:jc w:val="right"/>
              <w:rPr>
                <w:sz w:val="24"/>
                <w:szCs w:val="24"/>
              </w:rPr>
            </w:pPr>
            <w:r w:rsidRPr="004C4404">
              <w:rPr>
                <w:sz w:val="24"/>
                <w:szCs w:val="24"/>
              </w:rPr>
              <w:t xml:space="preserve"> </w:t>
            </w:r>
            <w:r w:rsidR="00DF7AB1" w:rsidRPr="004C4404">
              <w:rPr>
                <w:sz w:val="24"/>
                <w:szCs w:val="24"/>
              </w:rPr>
              <w:t>71.03%</w:t>
            </w:r>
          </w:p>
        </w:tc>
      </w:tr>
      <w:tr w:rsidR="00F12E85" w:rsidRPr="00C12018" w:rsidTr="00F12E85">
        <w:trPr>
          <w:jc w:val="center"/>
        </w:trPr>
        <w:tc>
          <w:tcPr>
            <w:tcW w:w="2542" w:type="dxa"/>
            <w:tcBorders>
              <w:top w:val="single" w:sz="4" w:space="0" w:color="auto"/>
              <w:left w:val="single" w:sz="4" w:space="0" w:color="auto"/>
              <w:bottom w:val="single" w:sz="4" w:space="0" w:color="auto"/>
              <w:right w:val="single" w:sz="4" w:space="0" w:color="auto"/>
            </w:tcBorders>
            <w:shd w:val="clear" w:color="auto" w:fill="E6E6E6"/>
            <w:vAlign w:val="center"/>
          </w:tcPr>
          <w:p w:rsidR="00F12E85" w:rsidRPr="004C4404" w:rsidRDefault="00F12E85" w:rsidP="00F12E85">
            <w:pPr>
              <w:rPr>
                <w:rFonts w:ascii="宋体" w:hAnsi="宋体"/>
                <w:sz w:val="24"/>
                <w:szCs w:val="24"/>
              </w:rPr>
            </w:pPr>
            <w:r w:rsidRPr="004C4404">
              <w:rPr>
                <w:rFonts w:ascii="宋体" w:hAnsi="宋体" w:hint="eastAsia"/>
                <w:sz w:val="24"/>
                <w:szCs w:val="24"/>
              </w:rPr>
              <w:t>营业利润</w:t>
            </w:r>
          </w:p>
        </w:tc>
        <w:tc>
          <w:tcPr>
            <w:tcW w:w="1843" w:type="dxa"/>
            <w:tcBorders>
              <w:top w:val="single" w:sz="4" w:space="0" w:color="auto"/>
              <w:left w:val="single" w:sz="4" w:space="0" w:color="auto"/>
              <w:bottom w:val="single" w:sz="4" w:space="0" w:color="auto"/>
              <w:right w:val="single" w:sz="4" w:space="0" w:color="auto"/>
            </w:tcBorders>
            <w:vAlign w:val="center"/>
          </w:tcPr>
          <w:p w:rsidR="00F12E85" w:rsidRPr="004C4404" w:rsidRDefault="00F12E85" w:rsidP="00F12E85">
            <w:pPr>
              <w:jc w:val="right"/>
              <w:rPr>
                <w:color w:val="000000"/>
                <w:sz w:val="24"/>
                <w:szCs w:val="24"/>
              </w:rPr>
            </w:pPr>
            <w:r w:rsidRPr="004C4404">
              <w:rPr>
                <w:color w:val="000000"/>
                <w:sz w:val="24"/>
                <w:szCs w:val="24"/>
              </w:rPr>
              <w:t>3</w:t>
            </w:r>
            <w:r w:rsidRPr="004C4404">
              <w:rPr>
                <w:rFonts w:hint="eastAsia"/>
                <w:color w:val="000000"/>
                <w:sz w:val="24"/>
                <w:szCs w:val="24"/>
              </w:rPr>
              <w:t>,</w:t>
            </w:r>
            <w:r w:rsidRPr="004C4404">
              <w:rPr>
                <w:color w:val="000000"/>
                <w:sz w:val="24"/>
                <w:szCs w:val="24"/>
              </w:rPr>
              <w:t>125</w:t>
            </w:r>
            <w:r w:rsidRPr="004C4404">
              <w:rPr>
                <w:rFonts w:hint="eastAsia"/>
                <w:color w:val="000000"/>
                <w:sz w:val="24"/>
                <w:szCs w:val="24"/>
              </w:rPr>
              <w:t>,</w:t>
            </w:r>
            <w:r w:rsidRPr="004C4404">
              <w:rPr>
                <w:color w:val="000000"/>
                <w:sz w:val="24"/>
                <w:szCs w:val="24"/>
              </w:rPr>
              <w:t>149</w:t>
            </w:r>
            <w:r w:rsidRPr="004C4404">
              <w:rPr>
                <w:rFonts w:hint="eastAsia"/>
                <w:color w:val="000000"/>
                <w:sz w:val="24"/>
                <w:szCs w:val="24"/>
              </w:rPr>
              <w:t>,</w:t>
            </w:r>
            <w:r w:rsidRPr="004C4404">
              <w:rPr>
                <w:color w:val="000000"/>
                <w:sz w:val="24"/>
                <w:szCs w:val="24"/>
              </w:rPr>
              <w:t>482.23</w:t>
            </w:r>
          </w:p>
        </w:tc>
        <w:tc>
          <w:tcPr>
            <w:tcW w:w="1805" w:type="dxa"/>
            <w:tcBorders>
              <w:top w:val="single" w:sz="4" w:space="0" w:color="auto"/>
              <w:left w:val="single" w:sz="4" w:space="0" w:color="auto"/>
              <w:bottom w:val="single" w:sz="4" w:space="0" w:color="auto"/>
              <w:right w:val="single" w:sz="4" w:space="0" w:color="auto"/>
            </w:tcBorders>
            <w:vAlign w:val="center"/>
          </w:tcPr>
          <w:p w:rsidR="00F12E85" w:rsidRPr="004C4404" w:rsidRDefault="00F12E85" w:rsidP="00F12E85">
            <w:pPr>
              <w:jc w:val="right"/>
              <w:rPr>
                <w:sz w:val="24"/>
                <w:szCs w:val="24"/>
              </w:rPr>
            </w:pPr>
            <w:r w:rsidRPr="004C4404">
              <w:rPr>
                <w:sz w:val="24"/>
                <w:szCs w:val="24"/>
              </w:rPr>
              <w:t>3,031,242,114.44</w:t>
            </w:r>
          </w:p>
        </w:tc>
        <w:tc>
          <w:tcPr>
            <w:tcW w:w="1791" w:type="dxa"/>
            <w:tcBorders>
              <w:top w:val="single" w:sz="4" w:space="0" w:color="auto"/>
              <w:left w:val="single" w:sz="4" w:space="0" w:color="auto"/>
              <w:bottom w:val="single" w:sz="4" w:space="0" w:color="auto"/>
              <w:right w:val="single" w:sz="4" w:space="0" w:color="auto"/>
            </w:tcBorders>
            <w:vAlign w:val="center"/>
          </w:tcPr>
          <w:p w:rsidR="00F12E85" w:rsidRPr="004C4404" w:rsidRDefault="00F12E85" w:rsidP="00F12E85">
            <w:pPr>
              <w:jc w:val="right"/>
              <w:rPr>
                <w:color w:val="000000"/>
                <w:sz w:val="24"/>
                <w:szCs w:val="24"/>
              </w:rPr>
            </w:pPr>
            <w:r w:rsidRPr="004C4404">
              <w:rPr>
                <w:sz w:val="24"/>
                <w:szCs w:val="24"/>
              </w:rPr>
              <w:t>2,993,923,753.23</w:t>
            </w:r>
          </w:p>
        </w:tc>
        <w:tc>
          <w:tcPr>
            <w:tcW w:w="1960" w:type="dxa"/>
            <w:tcBorders>
              <w:top w:val="single" w:sz="4" w:space="0" w:color="auto"/>
              <w:left w:val="single" w:sz="4" w:space="0" w:color="auto"/>
              <w:bottom w:val="single" w:sz="4" w:space="0" w:color="auto"/>
              <w:right w:val="single" w:sz="4" w:space="0" w:color="auto"/>
            </w:tcBorders>
            <w:vAlign w:val="center"/>
          </w:tcPr>
          <w:p w:rsidR="00F12E85" w:rsidRPr="004C4404" w:rsidRDefault="00F12E85" w:rsidP="00F12E85">
            <w:pPr>
              <w:jc w:val="right"/>
              <w:rPr>
                <w:sz w:val="24"/>
                <w:szCs w:val="24"/>
              </w:rPr>
            </w:pPr>
            <w:r w:rsidRPr="004C4404">
              <w:rPr>
                <w:sz w:val="24"/>
                <w:szCs w:val="24"/>
              </w:rPr>
              <w:t>1.25%</w:t>
            </w:r>
          </w:p>
        </w:tc>
      </w:tr>
      <w:tr w:rsidR="00F12E85" w:rsidRPr="00C12018" w:rsidTr="00F12E85">
        <w:trPr>
          <w:jc w:val="center"/>
        </w:trPr>
        <w:tc>
          <w:tcPr>
            <w:tcW w:w="2542" w:type="dxa"/>
            <w:tcBorders>
              <w:top w:val="single" w:sz="4" w:space="0" w:color="auto"/>
              <w:left w:val="single" w:sz="4" w:space="0" w:color="auto"/>
              <w:bottom w:val="single" w:sz="4" w:space="0" w:color="auto"/>
              <w:right w:val="single" w:sz="4" w:space="0" w:color="auto"/>
            </w:tcBorders>
            <w:shd w:val="clear" w:color="auto" w:fill="E6E6E6"/>
            <w:vAlign w:val="center"/>
          </w:tcPr>
          <w:p w:rsidR="00F12E85" w:rsidRPr="004C4404" w:rsidRDefault="00F12E85" w:rsidP="00F12E85">
            <w:pPr>
              <w:rPr>
                <w:rFonts w:ascii="宋体" w:hAnsi="宋体"/>
                <w:sz w:val="24"/>
                <w:szCs w:val="24"/>
              </w:rPr>
            </w:pPr>
            <w:r w:rsidRPr="004C4404">
              <w:rPr>
                <w:rFonts w:ascii="宋体" w:hAnsi="宋体" w:hint="eastAsia"/>
                <w:sz w:val="24"/>
                <w:szCs w:val="24"/>
              </w:rPr>
              <w:t>利润总额</w:t>
            </w:r>
          </w:p>
        </w:tc>
        <w:tc>
          <w:tcPr>
            <w:tcW w:w="1843" w:type="dxa"/>
            <w:tcBorders>
              <w:top w:val="single" w:sz="4" w:space="0" w:color="auto"/>
              <w:left w:val="single" w:sz="4" w:space="0" w:color="auto"/>
              <w:bottom w:val="single" w:sz="4" w:space="0" w:color="auto"/>
              <w:right w:val="single" w:sz="4" w:space="0" w:color="auto"/>
            </w:tcBorders>
            <w:vAlign w:val="center"/>
          </w:tcPr>
          <w:p w:rsidR="00F12E85" w:rsidRPr="004C4404" w:rsidRDefault="00F12E85" w:rsidP="00F12E85">
            <w:pPr>
              <w:jc w:val="right"/>
              <w:rPr>
                <w:color w:val="000000"/>
                <w:sz w:val="24"/>
                <w:szCs w:val="24"/>
              </w:rPr>
            </w:pPr>
            <w:r w:rsidRPr="004C4404">
              <w:rPr>
                <w:color w:val="000000"/>
                <w:sz w:val="24"/>
                <w:szCs w:val="24"/>
              </w:rPr>
              <w:t>3</w:t>
            </w:r>
            <w:r w:rsidRPr="004C4404">
              <w:rPr>
                <w:rFonts w:hint="eastAsia"/>
                <w:color w:val="000000"/>
                <w:sz w:val="24"/>
                <w:szCs w:val="24"/>
              </w:rPr>
              <w:t>,</w:t>
            </w:r>
            <w:r w:rsidRPr="004C4404">
              <w:rPr>
                <w:color w:val="000000"/>
                <w:sz w:val="24"/>
                <w:szCs w:val="24"/>
              </w:rPr>
              <w:t>098</w:t>
            </w:r>
            <w:r w:rsidRPr="004C4404">
              <w:rPr>
                <w:rFonts w:hint="eastAsia"/>
                <w:color w:val="000000"/>
                <w:sz w:val="24"/>
                <w:szCs w:val="24"/>
              </w:rPr>
              <w:t>,</w:t>
            </w:r>
            <w:r w:rsidRPr="004C4404">
              <w:rPr>
                <w:color w:val="000000"/>
                <w:sz w:val="24"/>
                <w:szCs w:val="24"/>
              </w:rPr>
              <w:t>796</w:t>
            </w:r>
            <w:r w:rsidRPr="004C4404">
              <w:rPr>
                <w:rFonts w:hint="eastAsia"/>
                <w:color w:val="000000"/>
                <w:sz w:val="24"/>
                <w:szCs w:val="24"/>
              </w:rPr>
              <w:t>,</w:t>
            </w:r>
            <w:r w:rsidRPr="004C4404">
              <w:rPr>
                <w:color w:val="000000"/>
                <w:sz w:val="24"/>
                <w:szCs w:val="24"/>
              </w:rPr>
              <w:t>408.75</w:t>
            </w:r>
          </w:p>
        </w:tc>
        <w:tc>
          <w:tcPr>
            <w:tcW w:w="1805" w:type="dxa"/>
            <w:tcBorders>
              <w:top w:val="single" w:sz="4" w:space="0" w:color="auto"/>
              <w:left w:val="single" w:sz="4" w:space="0" w:color="auto"/>
              <w:bottom w:val="single" w:sz="4" w:space="0" w:color="auto"/>
              <w:right w:val="single" w:sz="4" w:space="0" w:color="auto"/>
            </w:tcBorders>
            <w:vAlign w:val="center"/>
          </w:tcPr>
          <w:p w:rsidR="00F12E85" w:rsidRPr="004C4404" w:rsidRDefault="00F12E85" w:rsidP="00F12E85">
            <w:pPr>
              <w:jc w:val="right"/>
              <w:rPr>
                <w:sz w:val="24"/>
                <w:szCs w:val="24"/>
              </w:rPr>
            </w:pPr>
            <w:r w:rsidRPr="004C4404">
              <w:rPr>
                <w:sz w:val="24"/>
                <w:szCs w:val="24"/>
              </w:rPr>
              <w:t>3,004,889,040.96</w:t>
            </w:r>
          </w:p>
        </w:tc>
        <w:tc>
          <w:tcPr>
            <w:tcW w:w="1791" w:type="dxa"/>
            <w:tcBorders>
              <w:top w:val="single" w:sz="4" w:space="0" w:color="auto"/>
              <w:left w:val="single" w:sz="4" w:space="0" w:color="auto"/>
              <w:bottom w:val="single" w:sz="4" w:space="0" w:color="auto"/>
              <w:right w:val="single" w:sz="4" w:space="0" w:color="auto"/>
            </w:tcBorders>
            <w:vAlign w:val="center"/>
          </w:tcPr>
          <w:p w:rsidR="00F12E85" w:rsidRPr="004C4404" w:rsidRDefault="00F12E85" w:rsidP="00F12E85">
            <w:pPr>
              <w:jc w:val="right"/>
              <w:rPr>
                <w:color w:val="000000"/>
                <w:sz w:val="24"/>
                <w:szCs w:val="24"/>
              </w:rPr>
            </w:pPr>
            <w:r w:rsidRPr="004C4404">
              <w:rPr>
                <w:sz w:val="24"/>
                <w:szCs w:val="24"/>
              </w:rPr>
              <w:t>2,929,812,186.25</w:t>
            </w:r>
          </w:p>
        </w:tc>
        <w:tc>
          <w:tcPr>
            <w:tcW w:w="1960" w:type="dxa"/>
            <w:tcBorders>
              <w:top w:val="single" w:sz="4" w:space="0" w:color="auto"/>
              <w:left w:val="single" w:sz="4" w:space="0" w:color="auto"/>
              <w:bottom w:val="single" w:sz="4" w:space="0" w:color="auto"/>
              <w:right w:val="single" w:sz="4" w:space="0" w:color="auto"/>
            </w:tcBorders>
            <w:vAlign w:val="center"/>
          </w:tcPr>
          <w:p w:rsidR="00F12E85" w:rsidRPr="004C4404" w:rsidRDefault="00F12E85" w:rsidP="00F12E85">
            <w:pPr>
              <w:jc w:val="right"/>
              <w:rPr>
                <w:sz w:val="24"/>
                <w:szCs w:val="24"/>
              </w:rPr>
            </w:pPr>
            <w:r w:rsidRPr="004C4404">
              <w:rPr>
                <w:sz w:val="24"/>
                <w:szCs w:val="24"/>
              </w:rPr>
              <w:t>2.56%</w:t>
            </w:r>
          </w:p>
        </w:tc>
      </w:tr>
      <w:tr w:rsidR="00F12E85" w:rsidRPr="00C12018" w:rsidTr="00F12E85">
        <w:trPr>
          <w:jc w:val="center"/>
        </w:trPr>
        <w:tc>
          <w:tcPr>
            <w:tcW w:w="2542" w:type="dxa"/>
            <w:tcBorders>
              <w:top w:val="single" w:sz="4" w:space="0" w:color="auto"/>
              <w:left w:val="single" w:sz="4" w:space="0" w:color="auto"/>
              <w:bottom w:val="single" w:sz="4" w:space="0" w:color="auto"/>
              <w:right w:val="single" w:sz="4" w:space="0" w:color="auto"/>
            </w:tcBorders>
            <w:shd w:val="clear" w:color="auto" w:fill="E6E6E6"/>
            <w:vAlign w:val="center"/>
          </w:tcPr>
          <w:p w:rsidR="00F12E85" w:rsidRPr="004C4404" w:rsidRDefault="00F12E85" w:rsidP="00F12E85">
            <w:pPr>
              <w:rPr>
                <w:rFonts w:ascii="宋体" w:hAnsi="宋体"/>
                <w:sz w:val="24"/>
                <w:szCs w:val="24"/>
              </w:rPr>
            </w:pPr>
            <w:r w:rsidRPr="004C4404">
              <w:rPr>
                <w:rFonts w:ascii="宋体" w:hAnsi="宋体" w:hint="eastAsia"/>
                <w:sz w:val="24"/>
                <w:szCs w:val="24"/>
              </w:rPr>
              <w:t>归属于上市公司股东的净利润</w:t>
            </w:r>
          </w:p>
        </w:tc>
        <w:tc>
          <w:tcPr>
            <w:tcW w:w="1843" w:type="dxa"/>
            <w:tcBorders>
              <w:top w:val="single" w:sz="4" w:space="0" w:color="auto"/>
              <w:left w:val="single" w:sz="4" w:space="0" w:color="auto"/>
              <w:bottom w:val="single" w:sz="4" w:space="0" w:color="auto"/>
              <w:right w:val="single" w:sz="4" w:space="0" w:color="auto"/>
            </w:tcBorders>
            <w:vAlign w:val="center"/>
          </w:tcPr>
          <w:p w:rsidR="00F12E85" w:rsidRPr="004C4404" w:rsidRDefault="00F12E85" w:rsidP="00F12E85">
            <w:pPr>
              <w:jc w:val="right"/>
              <w:rPr>
                <w:color w:val="000000"/>
                <w:sz w:val="24"/>
                <w:szCs w:val="24"/>
              </w:rPr>
            </w:pPr>
            <w:r w:rsidRPr="004C4404">
              <w:rPr>
                <w:color w:val="000000"/>
                <w:sz w:val="24"/>
                <w:szCs w:val="24"/>
              </w:rPr>
              <w:t>2</w:t>
            </w:r>
            <w:r w:rsidRPr="004C4404">
              <w:rPr>
                <w:rFonts w:hint="eastAsia"/>
                <w:color w:val="000000"/>
                <w:sz w:val="24"/>
                <w:szCs w:val="24"/>
              </w:rPr>
              <w:t>,</w:t>
            </w:r>
            <w:r w:rsidRPr="004C4404">
              <w:rPr>
                <w:color w:val="000000"/>
                <w:sz w:val="24"/>
                <w:szCs w:val="24"/>
              </w:rPr>
              <w:t>503</w:t>
            </w:r>
            <w:r w:rsidRPr="004C4404">
              <w:rPr>
                <w:rFonts w:hint="eastAsia"/>
                <w:color w:val="000000"/>
                <w:sz w:val="24"/>
                <w:szCs w:val="24"/>
              </w:rPr>
              <w:t>,</w:t>
            </w:r>
            <w:r w:rsidRPr="004C4404">
              <w:rPr>
                <w:color w:val="000000"/>
                <w:sz w:val="24"/>
                <w:szCs w:val="24"/>
              </w:rPr>
              <w:t>306</w:t>
            </w:r>
            <w:r w:rsidRPr="004C4404">
              <w:rPr>
                <w:rFonts w:hint="eastAsia"/>
                <w:color w:val="000000"/>
                <w:sz w:val="24"/>
                <w:szCs w:val="24"/>
              </w:rPr>
              <w:t>,</w:t>
            </w:r>
            <w:r w:rsidRPr="004C4404">
              <w:rPr>
                <w:color w:val="000000"/>
                <w:sz w:val="24"/>
                <w:szCs w:val="24"/>
              </w:rPr>
              <w:t>009.14</w:t>
            </w:r>
          </w:p>
        </w:tc>
        <w:tc>
          <w:tcPr>
            <w:tcW w:w="1805" w:type="dxa"/>
            <w:tcBorders>
              <w:top w:val="single" w:sz="4" w:space="0" w:color="auto"/>
              <w:left w:val="single" w:sz="4" w:space="0" w:color="auto"/>
              <w:bottom w:val="single" w:sz="4" w:space="0" w:color="auto"/>
              <w:right w:val="single" w:sz="4" w:space="0" w:color="auto"/>
            </w:tcBorders>
            <w:vAlign w:val="center"/>
          </w:tcPr>
          <w:p w:rsidR="00F12E85" w:rsidRPr="004C4404" w:rsidRDefault="00F12E85" w:rsidP="00F12E85">
            <w:pPr>
              <w:jc w:val="right"/>
              <w:rPr>
                <w:sz w:val="24"/>
                <w:szCs w:val="24"/>
              </w:rPr>
            </w:pPr>
            <w:r w:rsidRPr="004C4404">
              <w:rPr>
                <w:rFonts w:hint="eastAsia"/>
                <w:sz w:val="24"/>
                <w:szCs w:val="24"/>
              </w:rPr>
              <w:t xml:space="preserve"> </w:t>
            </w:r>
            <w:r w:rsidRPr="004C4404">
              <w:rPr>
                <w:sz w:val="24"/>
                <w:szCs w:val="24"/>
              </w:rPr>
              <w:t xml:space="preserve">2,428,013,752.65 </w:t>
            </w:r>
          </w:p>
        </w:tc>
        <w:tc>
          <w:tcPr>
            <w:tcW w:w="1791" w:type="dxa"/>
            <w:tcBorders>
              <w:top w:val="single" w:sz="4" w:space="0" w:color="auto"/>
              <w:left w:val="single" w:sz="4" w:space="0" w:color="auto"/>
              <w:bottom w:val="single" w:sz="4" w:space="0" w:color="auto"/>
              <w:right w:val="single" w:sz="4" w:space="0" w:color="auto"/>
            </w:tcBorders>
            <w:vAlign w:val="center"/>
          </w:tcPr>
          <w:p w:rsidR="00F12E85" w:rsidRPr="004C4404" w:rsidRDefault="00F12E85" w:rsidP="00F12E85">
            <w:pPr>
              <w:jc w:val="right"/>
              <w:rPr>
                <w:color w:val="000000"/>
                <w:sz w:val="24"/>
                <w:szCs w:val="24"/>
              </w:rPr>
            </w:pPr>
            <w:r w:rsidRPr="004C4404">
              <w:rPr>
                <w:sz w:val="24"/>
                <w:szCs w:val="24"/>
              </w:rPr>
              <w:t>2,402,315,993.11</w:t>
            </w:r>
          </w:p>
        </w:tc>
        <w:tc>
          <w:tcPr>
            <w:tcW w:w="1960" w:type="dxa"/>
            <w:tcBorders>
              <w:top w:val="single" w:sz="4" w:space="0" w:color="auto"/>
              <w:left w:val="single" w:sz="4" w:space="0" w:color="auto"/>
              <w:bottom w:val="single" w:sz="4" w:space="0" w:color="auto"/>
              <w:right w:val="single" w:sz="4" w:space="0" w:color="auto"/>
            </w:tcBorders>
            <w:vAlign w:val="center"/>
          </w:tcPr>
          <w:p w:rsidR="00F12E85" w:rsidRPr="004C4404" w:rsidRDefault="00F12E85" w:rsidP="00F12E85">
            <w:pPr>
              <w:jc w:val="right"/>
              <w:rPr>
                <w:sz w:val="24"/>
                <w:szCs w:val="24"/>
              </w:rPr>
            </w:pPr>
            <w:r w:rsidRPr="004C4404">
              <w:rPr>
                <w:sz w:val="24"/>
                <w:szCs w:val="24"/>
              </w:rPr>
              <w:t>1.07%</w:t>
            </w:r>
          </w:p>
        </w:tc>
      </w:tr>
      <w:tr w:rsidR="00DF7AB1" w:rsidRPr="00C12018" w:rsidTr="00F12E85">
        <w:trPr>
          <w:jc w:val="center"/>
        </w:trPr>
        <w:tc>
          <w:tcPr>
            <w:tcW w:w="2542" w:type="dxa"/>
            <w:tcBorders>
              <w:top w:val="single" w:sz="4" w:space="0" w:color="auto"/>
              <w:left w:val="single" w:sz="4" w:space="0" w:color="auto"/>
              <w:bottom w:val="single" w:sz="4" w:space="0" w:color="auto"/>
              <w:right w:val="single" w:sz="4" w:space="0" w:color="auto"/>
            </w:tcBorders>
            <w:shd w:val="clear" w:color="auto" w:fill="E6E6E6"/>
            <w:vAlign w:val="center"/>
          </w:tcPr>
          <w:p w:rsidR="00DF7AB1" w:rsidRPr="004C4404" w:rsidRDefault="00DF7AB1" w:rsidP="005410BF">
            <w:pPr>
              <w:rPr>
                <w:rFonts w:ascii="宋体" w:hAnsi="宋体"/>
                <w:sz w:val="24"/>
                <w:szCs w:val="24"/>
              </w:rPr>
            </w:pPr>
            <w:r w:rsidRPr="004C4404">
              <w:rPr>
                <w:rFonts w:ascii="宋体" w:hAnsi="宋体" w:hint="eastAsia"/>
                <w:sz w:val="24"/>
                <w:szCs w:val="24"/>
              </w:rPr>
              <w:t>基本每股收益（元）</w:t>
            </w:r>
          </w:p>
        </w:tc>
        <w:tc>
          <w:tcPr>
            <w:tcW w:w="1843" w:type="dxa"/>
            <w:tcBorders>
              <w:top w:val="single" w:sz="4" w:space="0" w:color="auto"/>
              <w:left w:val="single" w:sz="4" w:space="0" w:color="auto"/>
              <w:bottom w:val="single" w:sz="4" w:space="0" w:color="auto"/>
              <w:right w:val="single" w:sz="4" w:space="0" w:color="auto"/>
            </w:tcBorders>
            <w:vAlign w:val="center"/>
          </w:tcPr>
          <w:p w:rsidR="00DF7AB1" w:rsidRPr="004C4404" w:rsidRDefault="00DF7AB1" w:rsidP="00E25B26">
            <w:pPr>
              <w:jc w:val="right"/>
              <w:rPr>
                <w:color w:val="000000"/>
                <w:sz w:val="24"/>
                <w:szCs w:val="24"/>
              </w:rPr>
            </w:pPr>
            <w:r w:rsidRPr="004C4404">
              <w:rPr>
                <w:color w:val="000000"/>
                <w:sz w:val="24"/>
                <w:szCs w:val="24"/>
              </w:rPr>
              <w:t>1.1663</w:t>
            </w:r>
          </w:p>
        </w:tc>
        <w:tc>
          <w:tcPr>
            <w:tcW w:w="1805" w:type="dxa"/>
            <w:tcBorders>
              <w:top w:val="single" w:sz="4" w:space="0" w:color="auto"/>
              <w:left w:val="single" w:sz="4" w:space="0" w:color="auto"/>
              <w:bottom w:val="single" w:sz="4" w:space="0" w:color="auto"/>
              <w:right w:val="single" w:sz="4" w:space="0" w:color="auto"/>
            </w:tcBorders>
            <w:vAlign w:val="center"/>
          </w:tcPr>
          <w:p w:rsidR="00DF7AB1" w:rsidRPr="004C4404" w:rsidRDefault="00F12E85" w:rsidP="00985749">
            <w:pPr>
              <w:jc w:val="right"/>
              <w:rPr>
                <w:sz w:val="24"/>
                <w:szCs w:val="24"/>
                <w:highlight w:val="yellow"/>
              </w:rPr>
            </w:pPr>
            <w:r w:rsidRPr="004C4404">
              <w:rPr>
                <w:sz w:val="24"/>
                <w:szCs w:val="24"/>
              </w:rPr>
              <w:t>1.0826</w:t>
            </w:r>
          </w:p>
        </w:tc>
        <w:tc>
          <w:tcPr>
            <w:tcW w:w="1791" w:type="dxa"/>
            <w:tcBorders>
              <w:top w:val="single" w:sz="4" w:space="0" w:color="auto"/>
              <w:left w:val="single" w:sz="4" w:space="0" w:color="auto"/>
              <w:bottom w:val="single" w:sz="4" w:space="0" w:color="auto"/>
              <w:right w:val="single" w:sz="4" w:space="0" w:color="auto"/>
            </w:tcBorders>
            <w:vAlign w:val="center"/>
          </w:tcPr>
          <w:p w:rsidR="00DF7AB1" w:rsidRPr="004C4404" w:rsidRDefault="008D3F39" w:rsidP="00E25B26">
            <w:pPr>
              <w:jc w:val="right"/>
              <w:rPr>
                <w:color w:val="000000"/>
                <w:sz w:val="24"/>
                <w:szCs w:val="24"/>
              </w:rPr>
            </w:pPr>
            <w:r w:rsidRPr="004C4404">
              <w:rPr>
                <w:color w:val="000000"/>
                <w:sz w:val="24"/>
                <w:szCs w:val="24"/>
              </w:rPr>
              <w:t>1.0706</w:t>
            </w:r>
          </w:p>
        </w:tc>
        <w:tc>
          <w:tcPr>
            <w:tcW w:w="1960" w:type="dxa"/>
            <w:tcBorders>
              <w:top w:val="single" w:sz="4" w:space="0" w:color="auto"/>
              <w:left w:val="single" w:sz="4" w:space="0" w:color="auto"/>
              <w:bottom w:val="single" w:sz="4" w:space="0" w:color="auto"/>
              <w:right w:val="single" w:sz="4" w:space="0" w:color="auto"/>
            </w:tcBorders>
            <w:vAlign w:val="center"/>
          </w:tcPr>
          <w:p w:rsidR="00DF7AB1" w:rsidRPr="004C4404" w:rsidRDefault="00F52FBD" w:rsidP="00DF7AB1">
            <w:pPr>
              <w:jc w:val="right"/>
              <w:rPr>
                <w:sz w:val="24"/>
                <w:szCs w:val="24"/>
                <w:highlight w:val="yellow"/>
              </w:rPr>
            </w:pPr>
            <w:r w:rsidRPr="004C4404">
              <w:rPr>
                <w:sz w:val="24"/>
                <w:szCs w:val="24"/>
              </w:rPr>
              <w:t>1.12%</w:t>
            </w:r>
          </w:p>
        </w:tc>
      </w:tr>
      <w:tr w:rsidR="00DF7AB1" w:rsidRPr="00C12018" w:rsidTr="00F12E85">
        <w:trPr>
          <w:jc w:val="center"/>
        </w:trPr>
        <w:tc>
          <w:tcPr>
            <w:tcW w:w="2542" w:type="dxa"/>
            <w:tcBorders>
              <w:top w:val="single" w:sz="4" w:space="0" w:color="auto"/>
              <w:left w:val="single" w:sz="4" w:space="0" w:color="auto"/>
              <w:bottom w:val="single" w:sz="4" w:space="0" w:color="auto"/>
              <w:right w:val="single" w:sz="4" w:space="0" w:color="auto"/>
            </w:tcBorders>
            <w:shd w:val="clear" w:color="auto" w:fill="E6E6E6"/>
            <w:vAlign w:val="center"/>
          </w:tcPr>
          <w:p w:rsidR="00DF7AB1" w:rsidRPr="004C4404" w:rsidRDefault="00DF7AB1" w:rsidP="005410BF">
            <w:pPr>
              <w:rPr>
                <w:rFonts w:ascii="宋体" w:hAnsi="宋体"/>
                <w:sz w:val="24"/>
                <w:szCs w:val="24"/>
              </w:rPr>
            </w:pPr>
            <w:r w:rsidRPr="004C4404">
              <w:rPr>
                <w:rFonts w:ascii="宋体" w:hAnsi="宋体" w:hint="eastAsia"/>
                <w:sz w:val="24"/>
                <w:szCs w:val="24"/>
              </w:rPr>
              <w:t>加权平均净资产收益率</w:t>
            </w:r>
          </w:p>
        </w:tc>
        <w:tc>
          <w:tcPr>
            <w:tcW w:w="1843" w:type="dxa"/>
            <w:tcBorders>
              <w:top w:val="single" w:sz="4" w:space="0" w:color="auto"/>
              <w:left w:val="single" w:sz="4" w:space="0" w:color="auto"/>
              <w:bottom w:val="single" w:sz="4" w:space="0" w:color="auto"/>
              <w:right w:val="single" w:sz="4" w:space="0" w:color="auto"/>
            </w:tcBorders>
            <w:vAlign w:val="center"/>
          </w:tcPr>
          <w:p w:rsidR="00DF7AB1" w:rsidRPr="004C4404" w:rsidRDefault="00DF7AB1" w:rsidP="00E25B26">
            <w:pPr>
              <w:jc w:val="right"/>
              <w:rPr>
                <w:color w:val="000000"/>
                <w:sz w:val="24"/>
                <w:szCs w:val="24"/>
              </w:rPr>
            </w:pPr>
            <w:r w:rsidRPr="004C4404">
              <w:rPr>
                <w:rFonts w:hint="eastAsia"/>
                <w:color w:val="000000"/>
                <w:sz w:val="24"/>
                <w:szCs w:val="24"/>
              </w:rPr>
              <w:t>13.37%</w:t>
            </w:r>
          </w:p>
        </w:tc>
        <w:tc>
          <w:tcPr>
            <w:tcW w:w="1805" w:type="dxa"/>
            <w:tcBorders>
              <w:top w:val="single" w:sz="4" w:space="0" w:color="auto"/>
              <w:left w:val="single" w:sz="4" w:space="0" w:color="auto"/>
              <w:bottom w:val="single" w:sz="4" w:space="0" w:color="auto"/>
              <w:right w:val="single" w:sz="4" w:space="0" w:color="auto"/>
            </w:tcBorders>
            <w:vAlign w:val="center"/>
          </w:tcPr>
          <w:p w:rsidR="00DF7AB1" w:rsidRPr="004C4404" w:rsidRDefault="00F12E85" w:rsidP="00985749">
            <w:pPr>
              <w:jc w:val="right"/>
              <w:rPr>
                <w:sz w:val="24"/>
                <w:szCs w:val="24"/>
                <w:highlight w:val="yellow"/>
              </w:rPr>
            </w:pPr>
            <w:r w:rsidRPr="004C4404">
              <w:rPr>
                <w:sz w:val="24"/>
                <w:szCs w:val="24"/>
              </w:rPr>
              <w:t>13.00%</w:t>
            </w:r>
          </w:p>
        </w:tc>
        <w:tc>
          <w:tcPr>
            <w:tcW w:w="1791" w:type="dxa"/>
            <w:tcBorders>
              <w:top w:val="single" w:sz="4" w:space="0" w:color="auto"/>
              <w:left w:val="single" w:sz="4" w:space="0" w:color="auto"/>
              <w:bottom w:val="single" w:sz="4" w:space="0" w:color="auto"/>
              <w:right w:val="single" w:sz="4" w:space="0" w:color="auto"/>
            </w:tcBorders>
            <w:vAlign w:val="center"/>
          </w:tcPr>
          <w:p w:rsidR="00DF7AB1" w:rsidRPr="004C4404" w:rsidRDefault="00DF7AB1" w:rsidP="00E25B26">
            <w:pPr>
              <w:jc w:val="right"/>
              <w:rPr>
                <w:color w:val="000000"/>
                <w:sz w:val="24"/>
                <w:szCs w:val="24"/>
              </w:rPr>
            </w:pPr>
            <w:r w:rsidRPr="004C4404">
              <w:rPr>
                <w:color w:val="000000"/>
                <w:sz w:val="24"/>
                <w:szCs w:val="24"/>
              </w:rPr>
              <w:t>14.54%</w:t>
            </w:r>
          </w:p>
        </w:tc>
        <w:tc>
          <w:tcPr>
            <w:tcW w:w="1960" w:type="dxa"/>
            <w:tcBorders>
              <w:top w:val="single" w:sz="4" w:space="0" w:color="auto"/>
              <w:left w:val="single" w:sz="4" w:space="0" w:color="auto"/>
              <w:bottom w:val="single" w:sz="4" w:space="0" w:color="auto"/>
              <w:right w:val="single" w:sz="4" w:space="0" w:color="auto"/>
            </w:tcBorders>
            <w:vAlign w:val="center"/>
          </w:tcPr>
          <w:p w:rsidR="00DF7AB1" w:rsidRPr="004C4404" w:rsidRDefault="00F52FBD" w:rsidP="002A3EEF">
            <w:pPr>
              <w:jc w:val="right"/>
              <w:rPr>
                <w:sz w:val="24"/>
                <w:szCs w:val="24"/>
                <w:highlight w:val="yellow"/>
              </w:rPr>
            </w:pPr>
            <w:r w:rsidRPr="004C4404">
              <w:rPr>
                <w:sz w:val="24"/>
                <w:szCs w:val="24"/>
              </w:rPr>
              <w:t>-1.54%</w:t>
            </w:r>
          </w:p>
        </w:tc>
      </w:tr>
      <w:tr w:rsidR="00C13C09" w:rsidRPr="00C12018" w:rsidTr="00F12E85">
        <w:trPr>
          <w:cantSplit/>
          <w:jc w:val="center"/>
        </w:trPr>
        <w:tc>
          <w:tcPr>
            <w:tcW w:w="25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C13C09" w:rsidRPr="004C4404" w:rsidRDefault="00C13C09" w:rsidP="005410BF">
            <w:pPr>
              <w:rPr>
                <w:sz w:val="24"/>
                <w:szCs w:val="24"/>
              </w:rPr>
            </w:pPr>
          </w:p>
        </w:tc>
        <w:tc>
          <w:tcPr>
            <w:tcW w:w="3648"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C13C09" w:rsidRPr="004C4404" w:rsidRDefault="00C13C09" w:rsidP="00E25B26">
            <w:pPr>
              <w:jc w:val="center"/>
              <w:rPr>
                <w:sz w:val="24"/>
                <w:szCs w:val="24"/>
              </w:rPr>
            </w:pPr>
            <w:r w:rsidRPr="004C4404">
              <w:rPr>
                <w:sz w:val="24"/>
                <w:szCs w:val="24"/>
              </w:rPr>
              <w:t>本报告期末</w:t>
            </w:r>
          </w:p>
        </w:tc>
        <w:tc>
          <w:tcPr>
            <w:tcW w:w="1791"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C13C09" w:rsidRPr="004C4404" w:rsidRDefault="00C13C09" w:rsidP="00E25B26">
            <w:pPr>
              <w:jc w:val="center"/>
              <w:rPr>
                <w:sz w:val="24"/>
                <w:szCs w:val="24"/>
              </w:rPr>
            </w:pPr>
            <w:r w:rsidRPr="004C4404">
              <w:rPr>
                <w:rFonts w:hAnsi="宋体"/>
                <w:sz w:val="24"/>
                <w:szCs w:val="24"/>
              </w:rPr>
              <w:t>本报告期初</w:t>
            </w:r>
          </w:p>
        </w:tc>
        <w:tc>
          <w:tcPr>
            <w:tcW w:w="1960"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C13C09" w:rsidRPr="004C4404" w:rsidRDefault="00C13C09" w:rsidP="00AF37CE">
            <w:pPr>
              <w:jc w:val="center"/>
              <w:rPr>
                <w:sz w:val="24"/>
                <w:szCs w:val="24"/>
              </w:rPr>
            </w:pPr>
            <w:r w:rsidRPr="004C4404">
              <w:rPr>
                <w:rFonts w:hAnsi="宋体"/>
                <w:sz w:val="24"/>
                <w:szCs w:val="24"/>
              </w:rPr>
              <w:t>修正后与本报告期初的增减变动幅度</w:t>
            </w:r>
          </w:p>
        </w:tc>
      </w:tr>
      <w:tr w:rsidR="00DF7AB1" w:rsidRPr="00C12018" w:rsidTr="00F12E85">
        <w:trPr>
          <w:cantSplit/>
          <w:jc w:val="center"/>
        </w:trPr>
        <w:tc>
          <w:tcPr>
            <w:tcW w:w="2542" w:type="dxa"/>
            <w:vMerge/>
            <w:tcBorders>
              <w:top w:val="single" w:sz="4" w:space="0" w:color="auto"/>
              <w:left w:val="single" w:sz="4" w:space="0" w:color="auto"/>
              <w:bottom w:val="single" w:sz="4" w:space="0" w:color="auto"/>
              <w:right w:val="single" w:sz="4" w:space="0" w:color="auto"/>
            </w:tcBorders>
            <w:vAlign w:val="center"/>
          </w:tcPr>
          <w:p w:rsidR="00C13C09" w:rsidRPr="004C4404" w:rsidRDefault="00C13C09" w:rsidP="005410BF">
            <w:pPr>
              <w:widowControl/>
              <w:rPr>
                <w:rFonts w:ascii="宋体" w:hAnsi="宋体"/>
                <w:sz w:val="24"/>
                <w:szCs w:val="24"/>
              </w:rPr>
            </w:pPr>
          </w:p>
        </w:tc>
        <w:tc>
          <w:tcPr>
            <w:tcW w:w="1843" w:type="dxa"/>
            <w:tcBorders>
              <w:top w:val="single" w:sz="4" w:space="0" w:color="auto"/>
              <w:left w:val="single" w:sz="4" w:space="0" w:color="auto"/>
              <w:bottom w:val="single" w:sz="4" w:space="0" w:color="auto"/>
              <w:right w:val="single" w:sz="4" w:space="0" w:color="auto"/>
            </w:tcBorders>
            <w:shd w:val="clear" w:color="auto" w:fill="E6E6E6"/>
            <w:vAlign w:val="center"/>
          </w:tcPr>
          <w:p w:rsidR="00C13C09" w:rsidRPr="004C4404" w:rsidRDefault="00C13C09" w:rsidP="00E25B26">
            <w:pPr>
              <w:jc w:val="center"/>
              <w:rPr>
                <w:rFonts w:ascii="宋体" w:hAnsi="宋体"/>
                <w:sz w:val="24"/>
                <w:szCs w:val="24"/>
              </w:rPr>
            </w:pPr>
            <w:r w:rsidRPr="004C4404">
              <w:rPr>
                <w:rFonts w:ascii="宋体" w:hAnsi="宋体" w:hint="eastAsia"/>
                <w:sz w:val="24"/>
                <w:szCs w:val="24"/>
              </w:rPr>
              <w:t>修正前</w:t>
            </w:r>
          </w:p>
        </w:tc>
        <w:tc>
          <w:tcPr>
            <w:tcW w:w="1805" w:type="dxa"/>
            <w:tcBorders>
              <w:top w:val="single" w:sz="4" w:space="0" w:color="auto"/>
              <w:left w:val="single" w:sz="4" w:space="0" w:color="auto"/>
              <w:bottom w:val="single" w:sz="4" w:space="0" w:color="auto"/>
              <w:right w:val="single" w:sz="4" w:space="0" w:color="auto"/>
            </w:tcBorders>
            <w:shd w:val="clear" w:color="auto" w:fill="E6E6E6"/>
            <w:vAlign w:val="center"/>
          </w:tcPr>
          <w:p w:rsidR="00C13C09" w:rsidRPr="004C4404" w:rsidRDefault="00C13C09" w:rsidP="00E25B26">
            <w:pPr>
              <w:jc w:val="center"/>
              <w:rPr>
                <w:sz w:val="24"/>
                <w:szCs w:val="24"/>
              </w:rPr>
            </w:pPr>
            <w:r w:rsidRPr="004C4404">
              <w:rPr>
                <w:rFonts w:hAnsi="宋体"/>
                <w:sz w:val="24"/>
                <w:szCs w:val="24"/>
              </w:rPr>
              <w:t>修正后</w:t>
            </w:r>
          </w:p>
        </w:tc>
        <w:tc>
          <w:tcPr>
            <w:tcW w:w="1791" w:type="dxa"/>
            <w:vMerge/>
            <w:tcBorders>
              <w:top w:val="single" w:sz="4" w:space="0" w:color="auto"/>
              <w:left w:val="single" w:sz="4" w:space="0" w:color="auto"/>
              <w:bottom w:val="single" w:sz="4" w:space="0" w:color="auto"/>
              <w:right w:val="single" w:sz="4" w:space="0" w:color="auto"/>
            </w:tcBorders>
            <w:vAlign w:val="center"/>
          </w:tcPr>
          <w:p w:rsidR="00C13C09" w:rsidRPr="004C4404" w:rsidRDefault="00C13C09" w:rsidP="00E25B26">
            <w:pPr>
              <w:widowControl/>
              <w:jc w:val="left"/>
              <w:rPr>
                <w:rFonts w:ascii="宋体" w:hAnsi="宋体"/>
                <w:sz w:val="24"/>
                <w:szCs w:val="24"/>
              </w:rPr>
            </w:pPr>
          </w:p>
        </w:tc>
        <w:tc>
          <w:tcPr>
            <w:tcW w:w="1960" w:type="dxa"/>
            <w:vMerge/>
            <w:tcBorders>
              <w:top w:val="single" w:sz="4" w:space="0" w:color="auto"/>
              <w:left w:val="single" w:sz="4" w:space="0" w:color="auto"/>
              <w:bottom w:val="single" w:sz="4" w:space="0" w:color="auto"/>
              <w:right w:val="single" w:sz="4" w:space="0" w:color="auto"/>
            </w:tcBorders>
            <w:vAlign w:val="center"/>
          </w:tcPr>
          <w:p w:rsidR="00C13C09" w:rsidRPr="004C4404" w:rsidRDefault="00C13C09" w:rsidP="00E25B26">
            <w:pPr>
              <w:widowControl/>
              <w:jc w:val="left"/>
              <w:rPr>
                <w:rFonts w:ascii="宋体" w:hAnsi="宋体"/>
                <w:sz w:val="24"/>
                <w:szCs w:val="24"/>
              </w:rPr>
            </w:pPr>
          </w:p>
        </w:tc>
      </w:tr>
      <w:tr w:rsidR="00F52FBD" w:rsidRPr="00C12018" w:rsidTr="00F52FBD">
        <w:trPr>
          <w:jc w:val="center"/>
        </w:trPr>
        <w:tc>
          <w:tcPr>
            <w:tcW w:w="2542" w:type="dxa"/>
            <w:tcBorders>
              <w:top w:val="single" w:sz="4" w:space="0" w:color="auto"/>
              <w:left w:val="single" w:sz="4" w:space="0" w:color="auto"/>
              <w:bottom w:val="single" w:sz="4" w:space="0" w:color="auto"/>
              <w:right w:val="single" w:sz="4" w:space="0" w:color="auto"/>
            </w:tcBorders>
            <w:shd w:val="clear" w:color="auto" w:fill="E6E6E6"/>
            <w:vAlign w:val="center"/>
          </w:tcPr>
          <w:p w:rsidR="00F52FBD" w:rsidRPr="004C4404" w:rsidRDefault="00F52FBD" w:rsidP="00F52FBD">
            <w:pPr>
              <w:rPr>
                <w:rFonts w:ascii="宋体" w:hAnsi="宋体"/>
                <w:sz w:val="24"/>
                <w:szCs w:val="24"/>
              </w:rPr>
            </w:pPr>
            <w:r w:rsidRPr="004C4404">
              <w:rPr>
                <w:rFonts w:ascii="宋体" w:hAnsi="宋体" w:hint="eastAsia"/>
                <w:sz w:val="24"/>
                <w:szCs w:val="24"/>
              </w:rPr>
              <w:t>总资产</w:t>
            </w:r>
          </w:p>
        </w:tc>
        <w:tc>
          <w:tcPr>
            <w:tcW w:w="1843" w:type="dxa"/>
            <w:tcBorders>
              <w:top w:val="single" w:sz="4" w:space="0" w:color="auto"/>
              <w:left w:val="single" w:sz="4" w:space="0" w:color="auto"/>
              <w:bottom w:val="single" w:sz="4" w:space="0" w:color="auto"/>
              <w:right w:val="single" w:sz="4" w:space="0" w:color="auto"/>
            </w:tcBorders>
            <w:vAlign w:val="center"/>
          </w:tcPr>
          <w:p w:rsidR="00F52FBD" w:rsidRPr="004C4404" w:rsidRDefault="00F52FBD" w:rsidP="00F52FBD">
            <w:pPr>
              <w:jc w:val="right"/>
              <w:rPr>
                <w:color w:val="000000"/>
                <w:sz w:val="24"/>
                <w:szCs w:val="24"/>
              </w:rPr>
            </w:pPr>
            <w:r w:rsidRPr="004C4404">
              <w:rPr>
                <w:color w:val="000000"/>
                <w:sz w:val="24"/>
                <w:szCs w:val="24"/>
              </w:rPr>
              <w:t>58</w:t>
            </w:r>
            <w:r w:rsidRPr="004C4404">
              <w:rPr>
                <w:rFonts w:hint="eastAsia"/>
                <w:color w:val="000000"/>
                <w:sz w:val="24"/>
                <w:szCs w:val="24"/>
              </w:rPr>
              <w:t>,</w:t>
            </w:r>
            <w:r w:rsidRPr="004C4404">
              <w:rPr>
                <w:color w:val="000000"/>
                <w:sz w:val="24"/>
                <w:szCs w:val="24"/>
              </w:rPr>
              <w:t>696</w:t>
            </w:r>
            <w:r w:rsidRPr="004C4404">
              <w:rPr>
                <w:rFonts w:hint="eastAsia"/>
                <w:color w:val="000000"/>
                <w:sz w:val="24"/>
                <w:szCs w:val="24"/>
              </w:rPr>
              <w:t>,</w:t>
            </w:r>
            <w:r w:rsidRPr="004C4404">
              <w:rPr>
                <w:color w:val="000000"/>
                <w:sz w:val="24"/>
                <w:szCs w:val="24"/>
              </w:rPr>
              <w:t>172</w:t>
            </w:r>
            <w:r w:rsidRPr="004C4404">
              <w:rPr>
                <w:rFonts w:hint="eastAsia"/>
                <w:color w:val="000000"/>
                <w:sz w:val="24"/>
                <w:szCs w:val="24"/>
              </w:rPr>
              <w:t>,</w:t>
            </w:r>
            <w:r w:rsidRPr="004C4404">
              <w:rPr>
                <w:color w:val="000000"/>
                <w:sz w:val="24"/>
                <w:szCs w:val="24"/>
              </w:rPr>
              <w:t>138.12</w:t>
            </w:r>
          </w:p>
        </w:tc>
        <w:tc>
          <w:tcPr>
            <w:tcW w:w="1805" w:type="dxa"/>
            <w:tcBorders>
              <w:top w:val="single" w:sz="4" w:space="0" w:color="auto"/>
              <w:left w:val="single" w:sz="4" w:space="0" w:color="auto"/>
              <w:bottom w:val="single" w:sz="4" w:space="0" w:color="auto"/>
              <w:right w:val="single" w:sz="4" w:space="0" w:color="auto"/>
            </w:tcBorders>
            <w:vAlign w:val="center"/>
          </w:tcPr>
          <w:p w:rsidR="00F52FBD" w:rsidRPr="004C4404" w:rsidRDefault="00F52FBD" w:rsidP="00F52FBD">
            <w:pPr>
              <w:jc w:val="right"/>
              <w:rPr>
                <w:sz w:val="24"/>
                <w:szCs w:val="24"/>
                <w:highlight w:val="yellow"/>
              </w:rPr>
            </w:pPr>
            <w:r w:rsidRPr="004C4404">
              <w:rPr>
                <w:sz w:val="24"/>
                <w:szCs w:val="24"/>
              </w:rPr>
              <w:t>58,627,985,736.63</w:t>
            </w:r>
          </w:p>
        </w:tc>
        <w:tc>
          <w:tcPr>
            <w:tcW w:w="1791" w:type="dxa"/>
            <w:tcBorders>
              <w:top w:val="single" w:sz="4" w:space="0" w:color="auto"/>
              <w:left w:val="single" w:sz="4" w:space="0" w:color="auto"/>
              <w:bottom w:val="single" w:sz="4" w:space="0" w:color="auto"/>
              <w:right w:val="single" w:sz="4" w:space="0" w:color="auto"/>
            </w:tcBorders>
            <w:vAlign w:val="center"/>
          </w:tcPr>
          <w:p w:rsidR="00F52FBD" w:rsidRPr="004C4404" w:rsidRDefault="00F52FBD" w:rsidP="00F52FBD">
            <w:pPr>
              <w:jc w:val="right"/>
              <w:rPr>
                <w:color w:val="000000"/>
                <w:sz w:val="24"/>
                <w:szCs w:val="24"/>
              </w:rPr>
            </w:pPr>
            <w:r w:rsidRPr="004C4404">
              <w:rPr>
                <w:sz w:val="24"/>
                <w:szCs w:val="24"/>
              </w:rPr>
              <w:t>55,627,409,851.44</w:t>
            </w:r>
          </w:p>
        </w:tc>
        <w:tc>
          <w:tcPr>
            <w:tcW w:w="1960" w:type="dxa"/>
            <w:tcBorders>
              <w:top w:val="single" w:sz="4" w:space="0" w:color="auto"/>
              <w:left w:val="single" w:sz="4" w:space="0" w:color="auto"/>
              <w:bottom w:val="single" w:sz="4" w:space="0" w:color="auto"/>
              <w:right w:val="single" w:sz="4" w:space="0" w:color="auto"/>
            </w:tcBorders>
            <w:vAlign w:val="center"/>
          </w:tcPr>
          <w:p w:rsidR="00F52FBD" w:rsidRPr="004C4404" w:rsidRDefault="00F52FBD" w:rsidP="00F52FBD">
            <w:pPr>
              <w:jc w:val="right"/>
              <w:rPr>
                <w:sz w:val="24"/>
                <w:szCs w:val="24"/>
              </w:rPr>
            </w:pPr>
            <w:r w:rsidRPr="004C4404">
              <w:rPr>
                <w:sz w:val="24"/>
                <w:szCs w:val="24"/>
              </w:rPr>
              <w:t>5.39%</w:t>
            </w:r>
          </w:p>
        </w:tc>
      </w:tr>
      <w:tr w:rsidR="00F52FBD" w:rsidRPr="00C12018" w:rsidTr="00F52FBD">
        <w:trPr>
          <w:jc w:val="center"/>
        </w:trPr>
        <w:tc>
          <w:tcPr>
            <w:tcW w:w="2542" w:type="dxa"/>
            <w:tcBorders>
              <w:top w:val="single" w:sz="4" w:space="0" w:color="auto"/>
              <w:left w:val="single" w:sz="4" w:space="0" w:color="auto"/>
              <w:bottom w:val="single" w:sz="4" w:space="0" w:color="auto"/>
              <w:right w:val="single" w:sz="4" w:space="0" w:color="auto"/>
            </w:tcBorders>
            <w:shd w:val="clear" w:color="auto" w:fill="E6E6E6"/>
            <w:vAlign w:val="center"/>
          </w:tcPr>
          <w:p w:rsidR="00F52FBD" w:rsidRPr="004C4404" w:rsidRDefault="00F52FBD" w:rsidP="00F52FBD">
            <w:pPr>
              <w:rPr>
                <w:rFonts w:ascii="宋体" w:hAnsi="宋体"/>
                <w:sz w:val="24"/>
                <w:szCs w:val="24"/>
              </w:rPr>
            </w:pPr>
            <w:r w:rsidRPr="004C4404">
              <w:rPr>
                <w:rFonts w:ascii="宋体" w:hAnsi="宋体" w:hint="eastAsia"/>
                <w:sz w:val="24"/>
                <w:szCs w:val="24"/>
              </w:rPr>
              <w:t>归属于上市公司股东的所有者权益</w:t>
            </w:r>
          </w:p>
        </w:tc>
        <w:tc>
          <w:tcPr>
            <w:tcW w:w="1843" w:type="dxa"/>
            <w:tcBorders>
              <w:top w:val="single" w:sz="4" w:space="0" w:color="auto"/>
              <w:left w:val="single" w:sz="4" w:space="0" w:color="auto"/>
              <w:bottom w:val="single" w:sz="4" w:space="0" w:color="auto"/>
              <w:right w:val="single" w:sz="4" w:space="0" w:color="auto"/>
            </w:tcBorders>
            <w:vAlign w:val="center"/>
          </w:tcPr>
          <w:p w:rsidR="00F52FBD" w:rsidRPr="004C4404" w:rsidRDefault="00F52FBD" w:rsidP="00F52FBD">
            <w:pPr>
              <w:jc w:val="right"/>
              <w:rPr>
                <w:color w:val="000000"/>
                <w:sz w:val="24"/>
                <w:szCs w:val="24"/>
              </w:rPr>
            </w:pPr>
            <w:r w:rsidRPr="004C4404">
              <w:rPr>
                <w:color w:val="000000"/>
                <w:sz w:val="24"/>
                <w:szCs w:val="24"/>
              </w:rPr>
              <w:t>18</w:t>
            </w:r>
            <w:r w:rsidRPr="004C4404">
              <w:rPr>
                <w:rFonts w:hint="eastAsia"/>
                <w:color w:val="000000"/>
                <w:sz w:val="24"/>
                <w:szCs w:val="24"/>
              </w:rPr>
              <w:t>,</w:t>
            </w:r>
            <w:r w:rsidRPr="004C4404">
              <w:rPr>
                <w:color w:val="000000"/>
                <w:sz w:val="24"/>
                <w:szCs w:val="24"/>
              </w:rPr>
              <w:t>960</w:t>
            </w:r>
            <w:r w:rsidRPr="004C4404">
              <w:rPr>
                <w:rFonts w:hint="eastAsia"/>
                <w:color w:val="000000"/>
                <w:sz w:val="24"/>
                <w:szCs w:val="24"/>
              </w:rPr>
              <w:t>,</w:t>
            </w:r>
            <w:r w:rsidRPr="004C4404">
              <w:rPr>
                <w:color w:val="000000"/>
                <w:sz w:val="24"/>
                <w:szCs w:val="24"/>
              </w:rPr>
              <w:t>045</w:t>
            </w:r>
            <w:r w:rsidRPr="004C4404">
              <w:rPr>
                <w:rFonts w:hint="eastAsia"/>
                <w:color w:val="000000"/>
                <w:sz w:val="24"/>
                <w:szCs w:val="24"/>
              </w:rPr>
              <w:t>,</w:t>
            </w:r>
            <w:r w:rsidRPr="004C4404">
              <w:rPr>
                <w:color w:val="000000"/>
                <w:sz w:val="24"/>
                <w:szCs w:val="24"/>
              </w:rPr>
              <w:t>357.3</w:t>
            </w:r>
            <w:r w:rsidRPr="004C4404">
              <w:rPr>
                <w:rFonts w:hint="eastAsia"/>
                <w:color w:val="000000"/>
                <w:sz w:val="24"/>
                <w:szCs w:val="24"/>
              </w:rPr>
              <w:t>0</w:t>
            </w:r>
          </w:p>
        </w:tc>
        <w:tc>
          <w:tcPr>
            <w:tcW w:w="1805" w:type="dxa"/>
            <w:tcBorders>
              <w:top w:val="single" w:sz="4" w:space="0" w:color="auto"/>
              <w:left w:val="single" w:sz="4" w:space="0" w:color="auto"/>
              <w:bottom w:val="single" w:sz="4" w:space="0" w:color="auto"/>
              <w:right w:val="single" w:sz="4" w:space="0" w:color="auto"/>
            </w:tcBorders>
            <w:vAlign w:val="center"/>
          </w:tcPr>
          <w:p w:rsidR="00F52FBD" w:rsidRPr="004C4404" w:rsidRDefault="00F52FBD" w:rsidP="00F52FBD">
            <w:pPr>
              <w:jc w:val="right"/>
              <w:rPr>
                <w:sz w:val="24"/>
                <w:szCs w:val="24"/>
                <w:highlight w:val="yellow"/>
              </w:rPr>
            </w:pPr>
            <w:r w:rsidRPr="004C4404">
              <w:rPr>
                <w:sz w:val="24"/>
                <w:szCs w:val="24"/>
              </w:rPr>
              <w:t>18,921,840,486.81</w:t>
            </w:r>
          </w:p>
        </w:tc>
        <w:tc>
          <w:tcPr>
            <w:tcW w:w="1791" w:type="dxa"/>
            <w:tcBorders>
              <w:top w:val="single" w:sz="4" w:space="0" w:color="auto"/>
              <w:left w:val="single" w:sz="4" w:space="0" w:color="auto"/>
              <w:bottom w:val="single" w:sz="4" w:space="0" w:color="auto"/>
              <w:right w:val="single" w:sz="4" w:space="0" w:color="auto"/>
            </w:tcBorders>
            <w:vAlign w:val="center"/>
          </w:tcPr>
          <w:p w:rsidR="00F52FBD" w:rsidRPr="004C4404" w:rsidRDefault="00F52FBD" w:rsidP="00F52FBD">
            <w:pPr>
              <w:jc w:val="right"/>
              <w:rPr>
                <w:color w:val="000000"/>
                <w:sz w:val="24"/>
                <w:szCs w:val="24"/>
              </w:rPr>
            </w:pPr>
            <w:r w:rsidRPr="004C4404">
              <w:rPr>
                <w:sz w:val="24"/>
                <w:szCs w:val="24"/>
              </w:rPr>
              <w:t>18,379,551,149.85</w:t>
            </w:r>
          </w:p>
        </w:tc>
        <w:tc>
          <w:tcPr>
            <w:tcW w:w="1960" w:type="dxa"/>
            <w:tcBorders>
              <w:top w:val="single" w:sz="4" w:space="0" w:color="auto"/>
              <w:left w:val="single" w:sz="4" w:space="0" w:color="auto"/>
              <w:bottom w:val="single" w:sz="4" w:space="0" w:color="auto"/>
              <w:right w:val="single" w:sz="4" w:space="0" w:color="auto"/>
            </w:tcBorders>
            <w:vAlign w:val="center"/>
          </w:tcPr>
          <w:p w:rsidR="00F52FBD" w:rsidRPr="004C4404" w:rsidRDefault="00F52FBD" w:rsidP="00F52FBD">
            <w:pPr>
              <w:jc w:val="right"/>
              <w:rPr>
                <w:sz w:val="24"/>
                <w:szCs w:val="24"/>
              </w:rPr>
            </w:pPr>
            <w:r w:rsidRPr="004C4404">
              <w:rPr>
                <w:sz w:val="24"/>
                <w:szCs w:val="24"/>
              </w:rPr>
              <w:t>2.95%</w:t>
            </w:r>
          </w:p>
        </w:tc>
      </w:tr>
      <w:tr w:rsidR="00DF7AB1" w:rsidRPr="00C12018" w:rsidTr="00F52FBD">
        <w:trPr>
          <w:jc w:val="center"/>
        </w:trPr>
        <w:tc>
          <w:tcPr>
            <w:tcW w:w="2542" w:type="dxa"/>
            <w:tcBorders>
              <w:top w:val="single" w:sz="4" w:space="0" w:color="auto"/>
              <w:left w:val="single" w:sz="4" w:space="0" w:color="auto"/>
              <w:bottom w:val="single" w:sz="4" w:space="0" w:color="auto"/>
              <w:right w:val="single" w:sz="4" w:space="0" w:color="auto"/>
            </w:tcBorders>
            <w:shd w:val="clear" w:color="auto" w:fill="E6E6E6"/>
            <w:vAlign w:val="center"/>
          </w:tcPr>
          <w:p w:rsidR="00DF7AB1" w:rsidRPr="004C4404" w:rsidRDefault="00DF7AB1" w:rsidP="005410BF">
            <w:pPr>
              <w:rPr>
                <w:rFonts w:ascii="宋体" w:hAnsi="宋体"/>
                <w:sz w:val="24"/>
                <w:szCs w:val="24"/>
              </w:rPr>
            </w:pPr>
            <w:r w:rsidRPr="004C4404">
              <w:rPr>
                <w:rFonts w:ascii="宋体" w:hAnsi="宋体" w:hint="eastAsia"/>
                <w:sz w:val="24"/>
                <w:szCs w:val="24"/>
              </w:rPr>
              <w:t>股本</w:t>
            </w:r>
          </w:p>
        </w:tc>
        <w:tc>
          <w:tcPr>
            <w:tcW w:w="1843" w:type="dxa"/>
            <w:tcBorders>
              <w:top w:val="single" w:sz="4" w:space="0" w:color="auto"/>
              <w:left w:val="single" w:sz="4" w:space="0" w:color="auto"/>
              <w:bottom w:val="single" w:sz="4" w:space="0" w:color="auto"/>
              <w:right w:val="single" w:sz="4" w:space="0" w:color="auto"/>
            </w:tcBorders>
            <w:vAlign w:val="center"/>
          </w:tcPr>
          <w:p w:rsidR="00DF7AB1" w:rsidRPr="004C4404" w:rsidRDefault="00DF7AB1" w:rsidP="00E25B26">
            <w:pPr>
              <w:jc w:val="right"/>
              <w:rPr>
                <w:color w:val="000000"/>
                <w:sz w:val="24"/>
                <w:szCs w:val="24"/>
              </w:rPr>
            </w:pPr>
            <w:r w:rsidRPr="004C4404">
              <w:rPr>
                <w:color w:val="000000"/>
                <w:sz w:val="24"/>
                <w:szCs w:val="24"/>
              </w:rPr>
              <w:t>2,146,449,598.00</w:t>
            </w:r>
          </w:p>
        </w:tc>
        <w:tc>
          <w:tcPr>
            <w:tcW w:w="1805" w:type="dxa"/>
            <w:tcBorders>
              <w:top w:val="single" w:sz="4" w:space="0" w:color="auto"/>
              <w:left w:val="single" w:sz="4" w:space="0" w:color="auto"/>
              <w:bottom w:val="single" w:sz="4" w:space="0" w:color="auto"/>
              <w:right w:val="single" w:sz="4" w:space="0" w:color="auto"/>
            </w:tcBorders>
            <w:vAlign w:val="center"/>
          </w:tcPr>
          <w:p w:rsidR="00DF7AB1" w:rsidRPr="004C4404" w:rsidRDefault="00DF7AB1" w:rsidP="00985749">
            <w:pPr>
              <w:jc w:val="right"/>
              <w:rPr>
                <w:sz w:val="24"/>
                <w:szCs w:val="24"/>
                <w:highlight w:val="yellow"/>
              </w:rPr>
            </w:pPr>
            <w:r w:rsidRPr="004C4404">
              <w:rPr>
                <w:sz w:val="24"/>
                <w:szCs w:val="24"/>
              </w:rPr>
              <w:t>2,146,449,598.00</w:t>
            </w:r>
          </w:p>
        </w:tc>
        <w:tc>
          <w:tcPr>
            <w:tcW w:w="1791" w:type="dxa"/>
            <w:tcBorders>
              <w:top w:val="single" w:sz="4" w:space="0" w:color="auto"/>
              <w:left w:val="single" w:sz="4" w:space="0" w:color="auto"/>
              <w:bottom w:val="single" w:sz="4" w:space="0" w:color="auto"/>
              <w:right w:val="single" w:sz="4" w:space="0" w:color="auto"/>
            </w:tcBorders>
            <w:vAlign w:val="center"/>
          </w:tcPr>
          <w:p w:rsidR="00DF7AB1" w:rsidRPr="004C4404" w:rsidRDefault="00DF7AB1" w:rsidP="00E25B26">
            <w:pPr>
              <w:jc w:val="right"/>
              <w:rPr>
                <w:color w:val="000000"/>
                <w:sz w:val="24"/>
                <w:szCs w:val="24"/>
              </w:rPr>
            </w:pPr>
            <w:r w:rsidRPr="004C4404">
              <w:rPr>
                <w:color w:val="000000"/>
                <w:sz w:val="24"/>
                <w:szCs w:val="24"/>
              </w:rPr>
              <w:t>2,146,449,598.00</w:t>
            </w:r>
          </w:p>
        </w:tc>
        <w:tc>
          <w:tcPr>
            <w:tcW w:w="1960" w:type="dxa"/>
            <w:tcBorders>
              <w:top w:val="single" w:sz="4" w:space="0" w:color="auto"/>
              <w:left w:val="single" w:sz="4" w:space="0" w:color="auto"/>
              <w:bottom w:val="single" w:sz="4" w:space="0" w:color="auto"/>
              <w:right w:val="single" w:sz="4" w:space="0" w:color="auto"/>
            </w:tcBorders>
            <w:vAlign w:val="center"/>
          </w:tcPr>
          <w:p w:rsidR="00DF7AB1" w:rsidRPr="004C4404" w:rsidRDefault="002A3EEF" w:rsidP="00F52FBD">
            <w:pPr>
              <w:jc w:val="right"/>
              <w:rPr>
                <w:sz w:val="24"/>
                <w:szCs w:val="24"/>
              </w:rPr>
            </w:pPr>
            <w:r w:rsidRPr="004C4404">
              <w:rPr>
                <w:rFonts w:hint="eastAsia"/>
                <w:sz w:val="24"/>
                <w:szCs w:val="24"/>
              </w:rPr>
              <w:t>0</w:t>
            </w:r>
          </w:p>
        </w:tc>
      </w:tr>
      <w:tr w:rsidR="00DF7AB1" w:rsidRPr="00C12018" w:rsidTr="00F52FBD">
        <w:trPr>
          <w:jc w:val="center"/>
        </w:trPr>
        <w:tc>
          <w:tcPr>
            <w:tcW w:w="2542" w:type="dxa"/>
            <w:tcBorders>
              <w:top w:val="single" w:sz="4" w:space="0" w:color="auto"/>
              <w:left w:val="single" w:sz="4" w:space="0" w:color="auto"/>
              <w:bottom w:val="single" w:sz="4" w:space="0" w:color="auto"/>
              <w:right w:val="single" w:sz="4" w:space="0" w:color="auto"/>
            </w:tcBorders>
            <w:shd w:val="clear" w:color="auto" w:fill="E6E6E6"/>
            <w:vAlign w:val="center"/>
          </w:tcPr>
          <w:p w:rsidR="00DF7AB1" w:rsidRPr="004C4404" w:rsidRDefault="00DF7AB1" w:rsidP="005410BF">
            <w:pPr>
              <w:rPr>
                <w:rFonts w:ascii="宋体" w:hAnsi="宋体"/>
                <w:sz w:val="24"/>
                <w:szCs w:val="24"/>
              </w:rPr>
            </w:pPr>
            <w:r w:rsidRPr="004C4404">
              <w:rPr>
                <w:rFonts w:ascii="宋体" w:hAnsi="宋体" w:hint="eastAsia"/>
                <w:sz w:val="24"/>
                <w:szCs w:val="24"/>
              </w:rPr>
              <w:t>归属于上市公司股东的每股净资产（元）</w:t>
            </w:r>
          </w:p>
        </w:tc>
        <w:tc>
          <w:tcPr>
            <w:tcW w:w="1843" w:type="dxa"/>
            <w:tcBorders>
              <w:top w:val="single" w:sz="4" w:space="0" w:color="auto"/>
              <w:left w:val="single" w:sz="4" w:space="0" w:color="auto"/>
              <w:bottom w:val="single" w:sz="4" w:space="0" w:color="auto"/>
              <w:right w:val="single" w:sz="4" w:space="0" w:color="auto"/>
            </w:tcBorders>
            <w:vAlign w:val="center"/>
          </w:tcPr>
          <w:p w:rsidR="00DF7AB1" w:rsidRPr="004C4404" w:rsidRDefault="00DF7AB1" w:rsidP="00E25B26">
            <w:pPr>
              <w:jc w:val="right"/>
              <w:rPr>
                <w:color w:val="000000"/>
                <w:sz w:val="24"/>
                <w:szCs w:val="24"/>
              </w:rPr>
            </w:pPr>
            <w:r w:rsidRPr="004C4404">
              <w:rPr>
                <w:rFonts w:hint="eastAsia"/>
                <w:color w:val="000000"/>
                <w:sz w:val="24"/>
                <w:szCs w:val="24"/>
              </w:rPr>
              <w:t>8.83</w:t>
            </w:r>
          </w:p>
        </w:tc>
        <w:tc>
          <w:tcPr>
            <w:tcW w:w="1805" w:type="dxa"/>
            <w:tcBorders>
              <w:top w:val="single" w:sz="4" w:space="0" w:color="auto"/>
              <w:left w:val="single" w:sz="4" w:space="0" w:color="auto"/>
              <w:bottom w:val="single" w:sz="4" w:space="0" w:color="auto"/>
              <w:right w:val="single" w:sz="4" w:space="0" w:color="auto"/>
            </w:tcBorders>
            <w:vAlign w:val="center"/>
          </w:tcPr>
          <w:p w:rsidR="00DF7AB1" w:rsidRPr="004C4404" w:rsidRDefault="00F12E85" w:rsidP="00985749">
            <w:pPr>
              <w:jc w:val="right"/>
              <w:rPr>
                <w:sz w:val="24"/>
                <w:szCs w:val="24"/>
                <w:highlight w:val="yellow"/>
              </w:rPr>
            </w:pPr>
            <w:r w:rsidRPr="004C4404">
              <w:rPr>
                <w:sz w:val="24"/>
                <w:szCs w:val="24"/>
              </w:rPr>
              <w:t xml:space="preserve">  8.82</w:t>
            </w:r>
          </w:p>
        </w:tc>
        <w:tc>
          <w:tcPr>
            <w:tcW w:w="1791" w:type="dxa"/>
            <w:tcBorders>
              <w:top w:val="single" w:sz="4" w:space="0" w:color="auto"/>
              <w:left w:val="single" w:sz="4" w:space="0" w:color="auto"/>
              <w:bottom w:val="single" w:sz="4" w:space="0" w:color="auto"/>
              <w:right w:val="single" w:sz="4" w:space="0" w:color="auto"/>
            </w:tcBorders>
            <w:vAlign w:val="center"/>
          </w:tcPr>
          <w:p w:rsidR="00DF7AB1" w:rsidRPr="004C4404" w:rsidRDefault="00DF7AB1" w:rsidP="00E25B26">
            <w:pPr>
              <w:jc w:val="right"/>
              <w:rPr>
                <w:color w:val="000000"/>
                <w:sz w:val="24"/>
                <w:szCs w:val="24"/>
              </w:rPr>
            </w:pPr>
            <w:r w:rsidRPr="004C4404">
              <w:rPr>
                <w:color w:val="000000"/>
                <w:sz w:val="24"/>
                <w:szCs w:val="24"/>
              </w:rPr>
              <w:t>7.87</w:t>
            </w:r>
          </w:p>
        </w:tc>
        <w:tc>
          <w:tcPr>
            <w:tcW w:w="1960" w:type="dxa"/>
            <w:tcBorders>
              <w:top w:val="single" w:sz="4" w:space="0" w:color="auto"/>
              <w:left w:val="single" w:sz="4" w:space="0" w:color="auto"/>
              <w:bottom w:val="single" w:sz="4" w:space="0" w:color="auto"/>
              <w:right w:val="single" w:sz="4" w:space="0" w:color="auto"/>
            </w:tcBorders>
            <w:vAlign w:val="center"/>
          </w:tcPr>
          <w:p w:rsidR="00DF7AB1" w:rsidRPr="004C4404" w:rsidRDefault="00F52FBD" w:rsidP="00F52FBD">
            <w:pPr>
              <w:jc w:val="right"/>
              <w:rPr>
                <w:sz w:val="24"/>
                <w:szCs w:val="24"/>
              </w:rPr>
            </w:pPr>
            <w:r w:rsidRPr="004C4404">
              <w:rPr>
                <w:sz w:val="24"/>
                <w:szCs w:val="24"/>
              </w:rPr>
              <w:t>12.0</w:t>
            </w:r>
            <w:r w:rsidR="00EF728A">
              <w:rPr>
                <w:sz w:val="24"/>
                <w:szCs w:val="24"/>
              </w:rPr>
              <w:t>7</w:t>
            </w:r>
            <w:bookmarkStart w:id="0" w:name="_GoBack"/>
            <w:bookmarkEnd w:id="0"/>
            <w:r w:rsidRPr="004C4404">
              <w:rPr>
                <w:sz w:val="24"/>
                <w:szCs w:val="24"/>
              </w:rPr>
              <w:t>%</w:t>
            </w:r>
          </w:p>
        </w:tc>
      </w:tr>
    </w:tbl>
    <w:p w:rsidR="00E14C6C" w:rsidRDefault="00C13C09" w:rsidP="00D108B7">
      <w:pPr>
        <w:autoSpaceDE w:val="0"/>
        <w:autoSpaceDN w:val="0"/>
        <w:adjustRightInd w:val="0"/>
        <w:spacing w:line="360" w:lineRule="auto"/>
        <w:ind w:firstLineChars="200" w:firstLine="480"/>
        <w:rPr>
          <w:rFonts w:ascii="宋体" w:hAnsi="宋体" w:cs="宋体"/>
          <w:kern w:val="0"/>
          <w:sz w:val="24"/>
          <w:szCs w:val="24"/>
        </w:rPr>
      </w:pPr>
      <w:r w:rsidRPr="00E14C6C">
        <w:rPr>
          <w:rFonts w:ascii="宋体" w:hAnsi="宋体" w:cs="宋体" w:hint="eastAsia"/>
          <w:kern w:val="0"/>
          <w:sz w:val="24"/>
          <w:szCs w:val="24"/>
        </w:rPr>
        <w:t>注：编制合并报表的公司应当以合并报表数据填列。</w:t>
      </w:r>
    </w:p>
    <w:p w:rsidR="00B475CA" w:rsidRDefault="00B475CA" w:rsidP="002270A7">
      <w:pPr>
        <w:autoSpaceDE w:val="0"/>
        <w:autoSpaceDN w:val="0"/>
        <w:adjustRightInd w:val="0"/>
        <w:spacing w:line="520" w:lineRule="exact"/>
        <w:ind w:firstLineChars="200" w:firstLine="482"/>
        <w:rPr>
          <w:rFonts w:ascii="宋体" w:hAnsi="宋体" w:cs="宋体"/>
          <w:b/>
          <w:kern w:val="0"/>
          <w:sz w:val="24"/>
          <w:szCs w:val="24"/>
        </w:rPr>
      </w:pPr>
    </w:p>
    <w:p w:rsidR="00C13C09" w:rsidRPr="00E14C6C" w:rsidRDefault="00C13C09" w:rsidP="002270A7">
      <w:pPr>
        <w:autoSpaceDE w:val="0"/>
        <w:autoSpaceDN w:val="0"/>
        <w:adjustRightInd w:val="0"/>
        <w:spacing w:line="520" w:lineRule="exact"/>
        <w:ind w:firstLineChars="200" w:firstLine="482"/>
        <w:rPr>
          <w:rFonts w:ascii="宋体" w:hAnsi="宋体" w:cs="宋体"/>
          <w:kern w:val="0"/>
          <w:sz w:val="24"/>
          <w:szCs w:val="24"/>
        </w:rPr>
      </w:pPr>
      <w:r w:rsidRPr="00E14C6C">
        <w:rPr>
          <w:rFonts w:ascii="宋体" w:hAnsi="宋体" w:cs="宋体" w:hint="eastAsia"/>
          <w:b/>
          <w:kern w:val="0"/>
          <w:sz w:val="24"/>
          <w:szCs w:val="24"/>
        </w:rPr>
        <w:t>二、业绩快报修正情况说明</w:t>
      </w:r>
    </w:p>
    <w:p w:rsidR="00E53393" w:rsidRPr="00E14C6C" w:rsidRDefault="00CC728C" w:rsidP="002270A7">
      <w:pPr>
        <w:autoSpaceDE w:val="0"/>
        <w:autoSpaceDN w:val="0"/>
        <w:adjustRightInd w:val="0"/>
        <w:spacing w:line="520" w:lineRule="exact"/>
        <w:ind w:firstLineChars="200" w:firstLine="480"/>
        <w:rPr>
          <w:kern w:val="0"/>
          <w:sz w:val="24"/>
          <w:szCs w:val="24"/>
        </w:rPr>
      </w:pPr>
      <w:r>
        <w:rPr>
          <w:rFonts w:hint="eastAsia"/>
          <w:kern w:val="0"/>
          <w:sz w:val="24"/>
          <w:szCs w:val="24"/>
        </w:rPr>
        <w:t>（一）</w:t>
      </w:r>
      <w:r w:rsidR="005410BF" w:rsidRPr="00E14C6C">
        <w:rPr>
          <w:rFonts w:hint="eastAsia"/>
          <w:kern w:val="0"/>
          <w:sz w:val="24"/>
          <w:szCs w:val="24"/>
        </w:rPr>
        <w:t>公司于</w:t>
      </w:r>
      <w:r w:rsidR="005410BF" w:rsidRPr="00E14C6C">
        <w:rPr>
          <w:rFonts w:hint="eastAsia"/>
          <w:kern w:val="0"/>
          <w:sz w:val="24"/>
          <w:szCs w:val="24"/>
        </w:rPr>
        <w:t>2019</w:t>
      </w:r>
      <w:r w:rsidR="005410BF" w:rsidRPr="00E14C6C">
        <w:rPr>
          <w:rFonts w:hint="eastAsia"/>
          <w:kern w:val="0"/>
          <w:sz w:val="24"/>
          <w:szCs w:val="24"/>
        </w:rPr>
        <w:t>年</w:t>
      </w:r>
      <w:r w:rsidR="005410BF" w:rsidRPr="00E14C6C">
        <w:rPr>
          <w:rFonts w:hint="eastAsia"/>
          <w:kern w:val="0"/>
          <w:sz w:val="24"/>
          <w:szCs w:val="24"/>
        </w:rPr>
        <w:t>2</w:t>
      </w:r>
      <w:r w:rsidR="005410BF" w:rsidRPr="00E14C6C">
        <w:rPr>
          <w:rFonts w:hint="eastAsia"/>
          <w:kern w:val="0"/>
          <w:sz w:val="24"/>
          <w:szCs w:val="24"/>
        </w:rPr>
        <w:t>月</w:t>
      </w:r>
      <w:r w:rsidR="005410BF" w:rsidRPr="00E14C6C">
        <w:rPr>
          <w:rFonts w:hint="eastAsia"/>
          <w:kern w:val="0"/>
          <w:sz w:val="24"/>
          <w:szCs w:val="24"/>
        </w:rPr>
        <w:t>28</w:t>
      </w:r>
      <w:r w:rsidR="005410BF" w:rsidRPr="00E14C6C">
        <w:rPr>
          <w:rFonts w:hint="eastAsia"/>
          <w:kern w:val="0"/>
          <w:sz w:val="24"/>
          <w:szCs w:val="24"/>
        </w:rPr>
        <w:t>日</w:t>
      </w:r>
      <w:r w:rsidR="00E53393" w:rsidRPr="00E14C6C">
        <w:rPr>
          <w:kern w:val="0"/>
          <w:sz w:val="24"/>
          <w:szCs w:val="24"/>
        </w:rPr>
        <w:t>在《中国证券报》、《证券时报》、《上海证券报》及</w:t>
      </w:r>
      <w:r w:rsidR="00E53393" w:rsidRPr="00E14C6C">
        <w:rPr>
          <w:color w:val="000000"/>
          <w:kern w:val="0"/>
          <w:sz w:val="24"/>
          <w:szCs w:val="24"/>
        </w:rPr>
        <w:t>巨潮资讯网</w:t>
      </w:r>
      <w:hyperlink r:id="rId6" w:history="1">
        <w:r w:rsidR="00E53393" w:rsidRPr="00E14C6C">
          <w:rPr>
            <w:sz w:val="24"/>
            <w:szCs w:val="24"/>
          </w:rPr>
          <w:t>http://www.cninfo.com.cn</w:t>
        </w:r>
      </w:hyperlink>
      <w:r w:rsidR="00E53393" w:rsidRPr="00E14C6C">
        <w:rPr>
          <w:kern w:val="0"/>
          <w:sz w:val="24"/>
          <w:szCs w:val="24"/>
        </w:rPr>
        <w:t>上</w:t>
      </w:r>
      <w:r w:rsidR="00E53393" w:rsidRPr="00E14C6C">
        <w:rPr>
          <w:rFonts w:hint="eastAsia"/>
          <w:kern w:val="0"/>
          <w:sz w:val="24"/>
          <w:szCs w:val="24"/>
        </w:rPr>
        <w:t>披露了</w:t>
      </w:r>
      <w:r w:rsidR="00E53393" w:rsidRPr="00E14C6C">
        <w:rPr>
          <w:kern w:val="0"/>
          <w:sz w:val="24"/>
          <w:szCs w:val="24"/>
        </w:rPr>
        <w:t>《</w:t>
      </w:r>
      <w:r w:rsidR="00E53393" w:rsidRPr="00E14C6C">
        <w:rPr>
          <w:rFonts w:hint="eastAsia"/>
          <w:kern w:val="0"/>
          <w:sz w:val="24"/>
          <w:szCs w:val="24"/>
        </w:rPr>
        <w:t>新疆中泰化学股份有限公司</w:t>
      </w:r>
      <w:r w:rsidR="00E53393" w:rsidRPr="00E14C6C">
        <w:rPr>
          <w:rFonts w:hint="eastAsia"/>
          <w:kern w:val="0"/>
          <w:sz w:val="24"/>
          <w:szCs w:val="24"/>
        </w:rPr>
        <w:t>2018</w:t>
      </w:r>
      <w:r w:rsidR="00E53393" w:rsidRPr="00E14C6C">
        <w:rPr>
          <w:rFonts w:hint="eastAsia"/>
          <w:kern w:val="0"/>
          <w:sz w:val="24"/>
          <w:szCs w:val="24"/>
        </w:rPr>
        <w:t>年度业绩快报</w:t>
      </w:r>
      <w:r w:rsidR="00E53393" w:rsidRPr="00E14C6C">
        <w:rPr>
          <w:kern w:val="0"/>
          <w:sz w:val="24"/>
          <w:szCs w:val="24"/>
        </w:rPr>
        <w:t>》</w:t>
      </w:r>
      <w:r w:rsidR="00E53393" w:rsidRPr="00E14C6C">
        <w:rPr>
          <w:rFonts w:hint="eastAsia"/>
          <w:kern w:val="0"/>
          <w:sz w:val="24"/>
          <w:szCs w:val="24"/>
        </w:rPr>
        <w:t>（</w:t>
      </w:r>
      <w:r w:rsidR="00E53393" w:rsidRPr="00E14C6C">
        <w:rPr>
          <w:rFonts w:hint="eastAsia"/>
          <w:kern w:val="0"/>
          <w:sz w:val="24"/>
          <w:szCs w:val="24"/>
        </w:rPr>
        <w:t>2019-007</w:t>
      </w:r>
      <w:r w:rsidR="00E53393" w:rsidRPr="00E14C6C">
        <w:rPr>
          <w:rFonts w:hint="eastAsia"/>
          <w:kern w:val="0"/>
          <w:sz w:val="24"/>
          <w:szCs w:val="24"/>
        </w:rPr>
        <w:t>）</w:t>
      </w:r>
      <w:r w:rsidR="00F12529" w:rsidRPr="00E14C6C">
        <w:rPr>
          <w:rFonts w:hint="eastAsia"/>
          <w:kern w:val="0"/>
          <w:sz w:val="24"/>
          <w:szCs w:val="24"/>
        </w:rPr>
        <w:t>。</w:t>
      </w:r>
      <w:r w:rsidR="005F5787">
        <w:rPr>
          <w:rFonts w:hint="eastAsia"/>
          <w:kern w:val="0"/>
          <w:sz w:val="24"/>
          <w:szCs w:val="24"/>
        </w:rPr>
        <w:t>此次修正前营业总收入为</w:t>
      </w:r>
      <w:r w:rsidR="005F5787" w:rsidRPr="005F5787">
        <w:rPr>
          <w:kern w:val="0"/>
          <w:sz w:val="24"/>
          <w:szCs w:val="24"/>
        </w:rPr>
        <w:t>78,426,815,052.80</w:t>
      </w:r>
      <w:r w:rsidR="005F5787">
        <w:rPr>
          <w:rFonts w:hint="eastAsia"/>
          <w:kern w:val="0"/>
          <w:sz w:val="24"/>
          <w:szCs w:val="24"/>
        </w:rPr>
        <w:t>元，修正后为</w:t>
      </w:r>
      <w:r w:rsidR="005F5787" w:rsidRPr="0017566D">
        <w:rPr>
          <w:kern w:val="0"/>
          <w:sz w:val="24"/>
          <w:szCs w:val="24"/>
        </w:rPr>
        <w:t>70,222,629,869.87</w:t>
      </w:r>
      <w:r w:rsidR="005F5787" w:rsidRPr="0017566D">
        <w:rPr>
          <w:rFonts w:hint="eastAsia"/>
          <w:kern w:val="0"/>
          <w:sz w:val="24"/>
          <w:szCs w:val="24"/>
        </w:rPr>
        <w:t>元</w:t>
      </w:r>
      <w:r w:rsidR="005F5787">
        <w:rPr>
          <w:rFonts w:hint="eastAsia"/>
          <w:kern w:val="0"/>
          <w:sz w:val="24"/>
          <w:szCs w:val="24"/>
        </w:rPr>
        <w:t>，较修正前减少</w:t>
      </w:r>
      <w:r w:rsidR="005F5787">
        <w:rPr>
          <w:rFonts w:hint="eastAsia"/>
          <w:kern w:val="0"/>
          <w:sz w:val="24"/>
          <w:szCs w:val="24"/>
        </w:rPr>
        <w:t>10.46%</w:t>
      </w:r>
      <w:r w:rsidR="005F5787">
        <w:rPr>
          <w:rFonts w:hint="eastAsia"/>
          <w:kern w:val="0"/>
          <w:sz w:val="24"/>
          <w:szCs w:val="24"/>
        </w:rPr>
        <w:t>。</w:t>
      </w:r>
    </w:p>
    <w:p w:rsidR="002270A7" w:rsidRDefault="00CC728C" w:rsidP="002270A7">
      <w:pPr>
        <w:spacing w:line="520" w:lineRule="exact"/>
        <w:ind w:firstLineChars="200" w:firstLine="480"/>
        <w:rPr>
          <w:kern w:val="0"/>
          <w:sz w:val="24"/>
          <w:szCs w:val="24"/>
        </w:rPr>
      </w:pPr>
      <w:r>
        <w:rPr>
          <w:rFonts w:hint="eastAsia"/>
          <w:kern w:val="0"/>
          <w:sz w:val="24"/>
          <w:szCs w:val="24"/>
        </w:rPr>
        <w:t>（</w:t>
      </w:r>
      <w:r w:rsidR="001137B6">
        <w:rPr>
          <w:rFonts w:hint="eastAsia"/>
          <w:kern w:val="0"/>
          <w:sz w:val="24"/>
          <w:szCs w:val="24"/>
        </w:rPr>
        <w:t>二</w:t>
      </w:r>
      <w:r>
        <w:rPr>
          <w:rFonts w:hint="eastAsia"/>
          <w:kern w:val="0"/>
          <w:sz w:val="24"/>
          <w:szCs w:val="24"/>
        </w:rPr>
        <w:t>）</w:t>
      </w:r>
      <w:r w:rsidR="00F12529" w:rsidRPr="00E14C6C">
        <w:rPr>
          <w:kern w:val="0"/>
          <w:sz w:val="24"/>
          <w:szCs w:val="24"/>
        </w:rPr>
        <w:t>造成差异的具体原因</w:t>
      </w:r>
    </w:p>
    <w:p w:rsidR="00D91BC0" w:rsidRDefault="00A96768" w:rsidP="00D91BC0">
      <w:pPr>
        <w:spacing w:line="520" w:lineRule="exact"/>
        <w:ind w:firstLineChars="200" w:firstLine="480"/>
        <w:rPr>
          <w:sz w:val="24"/>
          <w:szCs w:val="24"/>
        </w:rPr>
      </w:pPr>
      <w:r>
        <w:rPr>
          <w:rFonts w:hint="eastAsia"/>
          <w:sz w:val="24"/>
          <w:szCs w:val="24"/>
        </w:rPr>
        <w:t>造成上述差异的主要原因是</w:t>
      </w:r>
      <w:r w:rsidR="009A30BA">
        <w:rPr>
          <w:rFonts w:hint="eastAsia"/>
          <w:sz w:val="24"/>
          <w:szCs w:val="24"/>
        </w:rPr>
        <w:t>，</w:t>
      </w:r>
      <w:r w:rsidR="00D91BC0">
        <w:rPr>
          <w:rFonts w:hint="eastAsia"/>
          <w:sz w:val="24"/>
          <w:szCs w:val="24"/>
        </w:rPr>
        <w:t>经与</w:t>
      </w:r>
      <w:r w:rsidR="00D91BC0" w:rsidRPr="00E14C6C">
        <w:rPr>
          <w:rFonts w:hint="eastAsia"/>
          <w:kern w:val="0"/>
          <w:sz w:val="24"/>
          <w:szCs w:val="24"/>
        </w:rPr>
        <w:t>会计师事务所</w:t>
      </w:r>
      <w:r w:rsidR="00D91BC0">
        <w:rPr>
          <w:rFonts w:hint="eastAsia"/>
          <w:kern w:val="0"/>
          <w:sz w:val="24"/>
          <w:szCs w:val="24"/>
        </w:rPr>
        <w:t>充分沟通</w:t>
      </w:r>
      <w:r w:rsidR="00D91BC0" w:rsidRPr="00E14C6C">
        <w:rPr>
          <w:rFonts w:hint="eastAsia"/>
          <w:kern w:val="0"/>
          <w:sz w:val="24"/>
          <w:szCs w:val="24"/>
        </w:rPr>
        <w:t>，</w:t>
      </w:r>
      <w:r w:rsidR="008A2E5D">
        <w:rPr>
          <w:rFonts w:hint="eastAsia"/>
          <w:kern w:val="0"/>
          <w:sz w:val="24"/>
          <w:szCs w:val="24"/>
        </w:rPr>
        <w:t>对</w:t>
      </w:r>
      <w:r w:rsidR="00290E6B">
        <w:rPr>
          <w:rFonts w:hint="eastAsia"/>
          <w:sz w:val="24"/>
          <w:szCs w:val="24"/>
        </w:rPr>
        <w:t>部分贸易收入的确认方法由总额法调整为净额法。</w:t>
      </w:r>
    </w:p>
    <w:p w:rsidR="00703952" w:rsidRDefault="00703952" w:rsidP="002270A7">
      <w:pPr>
        <w:autoSpaceDE w:val="0"/>
        <w:autoSpaceDN w:val="0"/>
        <w:adjustRightInd w:val="0"/>
        <w:spacing w:line="520" w:lineRule="exact"/>
        <w:ind w:firstLineChars="200" w:firstLine="482"/>
        <w:rPr>
          <w:rFonts w:ascii="宋体" w:hAnsi="宋体" w:cs="宋体"/>
          <w:b/>
          <w:kern w:val="0"/>
          <w:sz w:val="24"/>
        </w:rPr>
      </w:pPr>
    </w:p>
    <w:p w:rsidR="00C13C09" w:rsidRPr="00C12018" w:rsidRDefault="00C13C09" w:rsidP="002270A7">
      <w:pPr>
        <w:autoSpaceDE w:val="0"/>
        <w:autoSpaceDN w:val="0"/>
        <w:adjustRightInd w:val="0"/>
        <w:spacing w:line="520" w:lineRule="exact"/>
        <w:ind w:firstLineChars="200" w:firstLine="482"/>
        <w:rPr>
          <w:rFonts w:ascii="宋体" w:hAnsi="宋体" w:cs="宋体"/>
          <w:b/>
          <w:kern w:val="0"/>
          <w:sz w:val="24"/>
        </w:rPr>
      </w:pPr>
      <w:r w:rsidRPr="00C12018">
        <w:rPr>
          <w:rFonts w:ascii="宋体" w:hAnsi="宋体" w:cs="宋体" w:hint="eastAsia"/>
          <w:b/>
          <w:kern w:val="0"/>
          <w:sz w:val="24"/>
        </w:rPr>
        <w:t>三、其他说明</w:t>
      </w:r>
    </w:p>
    <w:p w:rsidR="00C13C09" w:rsidRDefault="0061513E" w:rsidP="002270A7">
      <w:pPr>
        <w:autoSpaceDE w:val="0"/>
        <w:autoSpaceDN w:val="0"/>
        <w:adjustRightInd w:val="0"/>
        <w:spacing w:line="520" w:lineRule="exact"/>
        <w:ind w:firstLineChars="200" w:firstLine="480"/>
        <w:rPr>
          <w:rFonts w:hAnsi="宋体"/>
          <w:kern w:val="0"/>
          <w:sz w:val="24"/>
        </w:rPr>
      </w:pPr>
      <w:r w:rsidRPr="0061513E">
        <w:rPr>
          <w:rFonts w:hAnsi="宋体"/>
          <w:kern w:val="0"/>
          <w:sz w:val="24"/>
        </w:rPr>
        <w:t>本次业绩快报修正公告数据是根据会计师事务所目前反馈的审计调整事项，经公司确认并对财务报表进行调整后的结果，与公司</w:t>
      </w:r>
      <w:r w:rsidRPr="0061513E">
        <w:rPr>
          <w:kern w:val="0"/>
          <w:sz w:val="24"/>
        </w:rPr>
        <w:t>2018</w:t>
      </w:r>
      <w:r w:rsidRPr="0061513E">
        <w:rPr>
          <w:rFonts w:hAnsi="宋体"/>
          <w:kern w:val="0"/>
          <w:sz w:val="24"/>
        </w:rPr>
        <w:t>年度报告中披露的最终数据可能存在差异，具体财务数据将在公司</w:t>
      </w:r>
      <w:r w:rsidRPr="0061513E">
        <w:rPr>
          <w:kern w:val="0"/>
          <w:sz w:val="24"/>
        </w:rPr>
        <w:t>2018</w:t>
      </w:r>
      <w:r w:rsidRPr="0061513E">
        <w:rPr>
          <w:rFonts w:hAnsi="宋体"/>
          <w:kern w:val="0"/>
          <w:sz w:val="24"/>
        </w:rPr>
        <w:t>年年度报告中详细披露。敬请广大投资者关注，并注意投资风险。</w:t>
      </w:r>
    </w:p>
    <w:p w:rsidR="00703952" w:rsidRDefault="00703952" w:rsidP="002270A7">
      <w:pPr>
        <w:autoSpaceDE w:val="0"/>
        <w:autoSpaceDN w:val="0"/>
        <w:adjustRightInd w:val="0"/>
        <w:spacing w:line="520" w:lineRule="exact"/>
        <w:ind w:firstLineChars="200" w:firstLine="482"/>
        <w:rPr>
          <w:rFonts w:ascii="宋体" w:hAnsi="宋体" w:cs="宋体"/>
          <w:b/>
          <w:kern w:val="0"/>
          <w:sz w:val="24"/>
        </w:rPr>
      </w:pPr>
    </w:p>
    <w:p w:rsidR="00C13C09" w:rsidRPr="00C12018" w:rsidRDefault="00C13C09" w:rsidP="002270A7">
      <w:pPr>
        <w:autoSpaceDE w:val="0"/>
        <w:autoSpaceDN w:val="0"/>
        <w:adjustRightInd w:val="0"/>
        <w:spacing w:line="520" w:lineRule="exact"/>
        <w:ind w:firstLineChars="200" w:firstLine="482"/>
        <w:rPr>
          <w:rFonts w:ascii="宋体" w:hAnsi="宋体" w:cs="宋体"/>
          <w:b/>
          <w:kern w:val="0"/>
          <w:sz w:val="24"/>
        </w:rPr>
      </w:pPr>
      <w:r w:rsidRPr="00C12018">
        <w:rPr>
          <w:rFonts w:ascii="宋体" w:hAnsi="宋体" w:cs="宋体" w:hint="eastAsia"/>
          <w:b/>
          <w:kern w:val="0"/>
          <w:sz w:val="24"/>
        </w:rPr>
        <w:t>四、备查文件</w:t>
      </w:r>
    </w:p>
    <w:p w:rsidR="0061513E" w:rsidRPr="00A0541C" w:rsidRDefault="00CC728C" w:rsidP="002270A7">
      <w:pPr>
        <w:pStyle w:val="2"/>
        <w:spacing w:after="0" w:line="520" w:lineRule="exact"/>
        <w:ind w:leftChars="0" w:left="0" w:firstLineChars="200" w:firstLine="480"/>
        <w:rPr>
          <w:sz w:val="24"/>
          <w:szCs w:val="24"/>
        </w:rPr>
      </w:pPr>
      <w:r>
        <w:rPr>
          <w:rFonts w:hint="eastAsia"/>
          <w:sz w:val="24"/>
          <w:szCs w:val="24"/>
        </w:rPr>
        <w:t>（一）</w:t>
      </w:r>
      <w:r w:rsidR="0061513E" w:rsidRPr="00A0541C">
        <w:rPr>
          <w:rFonts w:hAnsi="宋体"/>
          <w:sz w:val="24"/>
          <w:szCs w:val="24"/>
        </w:rPr>
        <w:t>经公司法定代表人、主管会计工作的负责人、会计机构负责人签字并盖章的资产负债表和利润表；</w:t>
      </w:r>
    </w:p>
    <w:p w:rsidR="0061513E" w:rsidRDefault="00CC728C" w:rsidP="002270A7">
      <w:pPr>
        <w:pStyle w:val="2"/>
        <w:spacing w:after="0" w:line="520" w:lineRule="exact"/>
        <w:ind w:leftChars="0" w:left="0" w:firstLineChars="200" w:firstLine="480"/>
        <w:rPr>
          <w:rFonts w:hAnsi="宋体"/>
          <w:sz w:val="24"/>
          <w:szCs w:val="24"/>
        </w:rPr>
      </w:pPr>
      <w:r>
        <w:rPr>
          <w:rFonts w:hint="eastAsia"/>
          <w:sz w:val="24"/>
          <w:szCs w:val="24"/>
        </w:rPr>
        <w:t>（二）</w:t>
      </w:r>
      <w:r w:rsidR="0061513E" w:rsidRPr="00A0541C">
        <w:rPr>
          <w:rFonts w:hAnsi="宋体"/>
          <w:sz w:val="24"/>
          <w:szCs w:val="24"/>
        </w:rPr>
        <w:t>内部审计部门负责人签字的内部审计报告。</w:t>
      </w:r>
    </w:p>
    <w:p w:rsidR="00BC0152" w:rsidRDefault="00BC0152" w:rsidP="002270A7">
      <w:pPr>
        <w:pStyle w:val="2"/>
        <w:spacing w:after="0" w:line="520" w:lineRule="exact"/>
        <w:ind w:leftChars="0" w:left="0" w:firstLineChars="200" w:firstLine="480"/>
        <w:rPr>
          <w:rFonts w:hAnsi="宋体"/>
          <w:sz w:val="24"/>
          <w:szCs w:val="24"/>
        </w:rPr>
      </w:pPr>
    </w:p>
    <w:p w:rsidR="00703952" w:rsidRDefault="00703952" w:rsidP="002270A7">
      <w:pPr>
        <w:pStyle w:val="2"/>
        <w:spacing w:after="0" w:line="520" w:lineRule="exact"/>
        <w:ind w:leftChars="0" w:left="0" w:firstLineChars="200" w:firstLine="480"/>
        <w:rPr>
          <w:rFonts w:hAnsi="宋体"/>
          <w:sz w:val="24"/>
          <w:szCs w:val="24"/>
        </w:rPr>
      </w:pPr>
    </w:p>
    <w:p w:rsidR="0061513E" w:rsidRPr="00A0541C" w:rsidRDefault="00C13C09" w:rsidP="00A476BA">
      <w:pPr>
        <w:pStyle w:val="2"/>
        <w:spacing w:after="0" w:line="520" w:lineRule="exact"/>
        <w:ind w:leftChars="0" w:left="0" w:right="420"/>
        <w:jc w:val="right"/>
        <w:rPr>
          <w:sz w:val="24"/>
          <w:szCs w:val="24"/>
        </w:rPr>
      </w:pPr>
      <w:r w:rsidRPr="00C12018">
        <w:rPr>
          <w:rFonts w:ascii="宋体" w:hAnsi="宋体" w:cs="宋体"/>
          <w:kern w:val="0"/>
        </w:rPr>
        <w:t xml:space="preserve">        </w:t>
      </w:r>
      <w:r w:rsidR="00A476BA">
        <w:rPr>
          <w:rFonts w:ascii="宋体" w:hAnsi="宋体" w:cs="宋体"/>
          <w:kern w:val="0"/>
        </w:rPr>
        <w:t xml:space="preserve">                              </w:t>
      </w:r>
      <w:r w:rsidR="00A476BA">
        <w:rPr>
          <w:rFonts w:ascii="宋体" w:hAnsi="宋体" w:cs="宋体" w:hint="eastAsia"/>
          <w:kern w:val="0"/>
        </w:rPr>
        <w:t xml:space="preserve"> </w:t>
      </w:r>
      <w:r w:rsidRPr="00C12018">
        <w:rPr>
          <w:rFonts w:ascii="宋体" w:hAnsi="宋体" w:cs="宋体"/>
          <w:kern w:val="0"/>
        </w:rPr>
        <w:t xml:space="preserve"> </w:t>
      </w:r>
      <w:r w:rsidR="0061513E" w:rsidRPr="00A0541C">
        <w:rPr>
          <w:rFonts w:hAnsi="宋体"/>
          <w:sz w:val="24"/>
          <w:szCs w:val="24"/>
        </w:rPr>
        <w:t>新疆中泰化学股份有限公司董事会</w:t>
      </w:r>
    </w:p>
    <w:p w:rsidR="008B5844" w:rsidRPr="0061513E" w:rsidRDefault="0061513E" w:rsidP="002270A7">
      <w:pPr>
        <w:autoSpaceDE w:val="0"/>
        <w:autoSpaceDN w:val="0"/>
        <w:adjustRightInd w:val="0"/>
        <w:spacing w:line="520" w:lineRule="exact"/>
        <w:ind w:firstLineChars="200" w:firstLine="480"/>
        <w:rPr>
          <w:rFonts w:ascii="宋体" w:hAnsi="宋体" w:cs="宋体"/>
          <w:kern w:val="0"/>
          <w:sz w:val="24"/>
          <w:szCs w:val="21"/>
        </w:rPr>
      </w:pPr>
      <w:r w:rsidRPr="00A0541C">
        <w:rPr>
          <w:sz w:val="24"/>
          <w:szCs w:val="24"/>
        </w:rPr>
        <w:t xml:space="preserve">                                     </w:t>
      </w:r>
      <w:r w:rsidRPr="000D0D58">
        <w:rPr>
          <w:rFonts w:ascii="宋体" w:hAnsi="宋体"/>
          <w:sz w:val="24"/>
          <w:szCs w:val="24"/>
        </w:rPr>
        <w:t>二○一</w:t>
      </w:r>
      <w:r w:rsidRPr="000D0D58">
        <w:rPr>
          <w:rFonts w:ascii="宋体" w:hAnsi="宋体" w:hint="eastAsia"/>
          <w:sz w:val="24"/>
          <w:szCs w:val="24"/>
        </w:rPr>
        <w:t>九</w:t>
      </w:r>
      <w:r w:rsidRPr="000D0D58">
        <w:rPr>
          <w:rFonts w:ascii="宋体" w:hAnsi="宋体"/>
          <w:sz w:val="24"/>
          <w:szCs w:val="24"/>
        </w:rPr>
        <w:t>年</w:t>
      </w:r>
      <w:r>
        <w:rPr>
          <w:rFonts w:ascii="宋体" w:hAnsi="宋体" w:hint="eastAsia"/>
          <w:sz w:val="24"/>
          <w:szCs w:val="24"/>
        </w:rPr>
        <w:t>三</w:t>
      </w:r>
      <w:r w:rsidRPr="000D0D58">
        <w:rPr>
          <w:rFonts w:ascii="宋体" w:hAnsi="宋体"/>
          <w:sz w:val="24"/>
          <w:szCs w:val="24"/>
        </w:rPr>
        <w:t>月二十</w:t>
      </w:r>
      <w:r w:rsidR="00451CE9">
        <w:rPr>
          <w:rFonts w:ascii="宋体" w:hAnsi="宋体" w:hint="eastAsia"/>
          <w:sz w:val="24"/>
          <w:szCs w:val="24"/>
        </w:rPr>
        <w:t>三</w:t>
      </w:r>
      <w:r w:rsidRPr="000D0D58">
        <w:rPr>
          <w:rFonts w:ascii="宋体" w:hAnsi="宋体"/>
          <w:sz w:val="24"/>
          <w:szCs w:val="24"/>
        </w:rPr>
        <w:t>日</w:t>
      </w:r>
    </w:p>
    <w:sectPr w:rsidR="008B5844" w:rsidRPr="0061513E" w:rsidSect="008B584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11C0C" w:rsidRDefault="00211C0C" w:rsidP="00C13C09">
      <w:r>
        <w:separator/>
      </w:r>
    </w:p>
  </w:endnote>
  <w:endnote w:type="continuationSeparator" w:id="0">
    <w:p w:rsidR="00211C0C" w:rsidRDefault="00211C0C" w:rsidP="00C13C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11C0C" w:rsidRDefault="00211C0C" w:rsidP="00C13C09">
      <w:r>
        <w:separator/>
      </w:r>
    </w:p>
  </w:footnote>
  <w:footnote w:type="continuationSeparator" w:id="0">
    <w:p w:rsidR="00211C0C" w:rsidRDefault="00211C0C" w:rsidP="00C13C0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C13C09"/>
    <w:rsid w:val="00035550"/>
    <w:rsid w:val="00052753"/>
    <w:rsid w:val="000A05C9"/>
    <w:rsid w:val="000B1200"/>
    <w:rsid w:val="001004DA"/>
    <w:rsid w:val="001137B6"/>
    <w:rsid w:val="00154AD1"/>
    <w:rsid w:val="0017566D"/>
    <w:rsid w:val="001771AC"/>
    <w:rsid w:val="00206244"/>
    <w:rsid w:val="00211C0C"/>
    <w:rsid w:val="00226E74"/>
    <w:rsid w:val="002270A7"/>
    <w:rsid w:val="0028533F"/>
    <w:rsid w:val="00290E6B"/>
    <w:rsid w:val="002954EC"/>
    <w:rsid w:val="002A3EEF"/>
    <w:rsid w:val="003514AA"/>
    <w:rsid w:val="003536B1"/>
    <w:rsid w:val="00353E05"/>
    <w:rsid w:val="00365F4F"/>
    <w:rsid w:val="003B2D15"/>
    <w:rsid w:val="003C4677"/>
    <w:rsid w:val="003F0E77"/>
    <w:rsid w:val="003F21A7"/>
    <w:rsid w:val="00430D5A"/>
    <w:rsid w:val="004361DF"/>
    <w:rsid w:val="00451CE9"/>
    <w:rsid w:val="004A77E9"/>
    <w:rsid w:val="004C4404"/>
    <w:rsid w:val="004C44CE"/>
    <w:rsid w:val="004D77D5"/>
    <w:rsid w:val="005410BF"/>
    <w:rsid w:val="005D365A"/>
    <w:rsid w:val="005E1D79"/>
    <w:rsid w:val="005F0426"/>
    <w:rsid w:val="005F5787"/>
    <w:rsid w:val="0061513E"/>
    <w:rsid w:val="00620E76"/>
    <w:rsid w:val="00647A20"/>
    <w:rsid w:val="00703952"/>
    <w:rsid w:val="00745043"/>
    <w:rsid w:val="00777B61"/>
    <w:rsid w:val="007B2E38"/>
    <w:rsid w:val="007C111C"/>
    <w:rsid w:val="007E4EEB"/>
    <w:rsid w:val="00880B9D"/>
    <w:rsid w:val="008A2E5D"/>
    <w:rsid w:val="008A31DE"/>
    <w:rsid w:val="008A4CB1"/>
    <w:rsid w:val="008B3114"/>
    <w:rsid w:val="008B5844"/>
    <w:rsid w:val="008C7263"/>
    <w:rsid w:val="008D3F39"/>
    <w:rsid w:val="009331A4"/>
    <w:rsid w:val="009766D7"/>
    <w:rsid w:val="00985749"/>
    <w:rsid w:val="009919EF"/>
    <w:rsid w:val="009A30BA"/>
    <w:rsid w:val="009A5C6C"/>
    <w:rsid w:val="00A2307A"/>
    <w:rsid w:val="00A476BA"/>
    <w:rsid w:val="00A96768"/>
    <w:rsid w:val="00AC2A3C"/>
    <w:rsid w:val="00AF37CE"/>
    <w:rsid w:val="00B3497B"/>
    <w:rsid w:val="00B475CA"/>
    <w:rsid w:val="00BC0152"/>
    <w:rsid w:val="00C13C09"/>
    <w:rsid w:val="00C242E0"/>
    <w:rsid w:val="00C44C1B"/>
    <w:rsid w:val="00C75BFF"/>
    <w:rsid w:val="00CC728C"/>
    <w:rsid w:val="00CE6AF5"/>
    <w:rsid w:val="00CF23B2"/>
    <w:rsid w:val="00D108B7"/>
    <w:rsid w:val="00D20271"/>
    <w:rsid w:val="00D2785C"/>
    <w:rsid w:val="00D37900"/>
    <w:rsid w:val="00D91BC0"/>
    <w:rsid w:val="00DC13F9"/>
    <w:rsid w:val="00DC728E"/>
    <w:rsid w:val="00DF5157"/>
    <w:rsid w:val="00DF7AB1"/>
    <w:rsid w:val="00E14C6C"/>
    <w:rsid w:val="00E53393"/>
    <w:rsid w:val="00E76180"/>
    <w:rsid w:val="00E83601"/>
    <w:rsid w:val="00EC1411"/>
    <w:rsid w:val="00EF728A"/>
    <w:rsid w:val="00F12529"/>
    <w:rsid w:val="00F12E85"/>
    <w:rsid w:val="00F1705D"/>
    <w:rsid w:val="00F27A51"/>
    <w:rsid w:val="00F46ED7"/>
    <w:rsid w:val="00F52FBD"/>
    <w:rsid w:val="00FD34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9DAD4CB"/>
  <w15:docId w15:val="{DA51491E-2B8C-4105-B37E-51E80CD5C1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C13C09"/>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13C0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C13C09"/>
    <w:rPr>
      <w:sz w:val="18"/>
      <w:szCs w:val="18"/>
    </w:rPr>
  </w:style>
  <w:style w:type="paragraph" w:styleId="a5">
    <w:name w:val="footer"/>
    <w:basedOn w:val="a"/>
    <w:link w:val="a6"/>
    <w:uiPriority w:val="99"/>
    <w:unhideWhenUsed/>
    <w:rsid w:val="00C13C0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C13C09"/>
    <w:rPr>
      <w:sz w:val="18"/>
      <w:szCs w:val="18"/>
    </w:rPr>
  </w:style>
  <w:style w:type="paragraph" w:styleId="2">
    <w:name w:val="Body Text Indent 2"/>
    <w:basedOn w:val="a"/>
    <w:link w:val="20"/>
    <w:rsid w:val="0061513E"/>
    <w:pPr>
      <w:spacing w:after="120" w:line="480" w:lineRule="auto"/>
      <w:ind w:leftChars="200" w:left="420"/>
    </w:pPr>
  </w:style>
  <w:style w:type="character" w:customStyle="1" w:styleId="20">
    <w:name w:val="正文文本缩进 2 字符"/>
    <w:basedOn w:val="a0"/>
    <w:link w:val="2"/>
    <w:rsid w:val="0061513E"/>
    <w:rPr>
      <w:rFonts w:ascii="Times New Roman" w:eastAsia="宋体" w:hAnsi="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ninfo.com.c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649</TotalTime>
  <Pages>2</Pages>
  <Words>237</Words>
  <Characters>1352</Characters>
  <Application>Microsoft Office Word</Application>
  <DocSecurity>0</DocSecurity>
  <Lines>11</Lines>
  <Paragraphs>3</Paragraphs>
  <ScaleCrop>false</ScaleCrop>
  <Company>Microsoft</Company>
  <LinksUpToDate>false</LinksUpToDate>
  <CharactersWithSpaces>1586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曹旭东</dc:creator>
  <cp:keywords/>
  <dc:description/>
  <cp:lastModifiedBy> </cp:lastModifiedBy>
  <cp:revision>88</cp:revision>
  <cp:lastPrinted>2019-03-20T04:23:00Z</cp:lastPrinted>
  <dcterms:created xsi:type="dcterms:W3CDTF">2019-03-20T03:56:00Z</dcterms:created>
  <dcterms:modified xsi:type="dcterms:W3CDTF">2019-03-22T11:24:00Z</dcterms:modified>
</cp:coreProperties>
</file>